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tabs>
          <w:tab w:val="left" w:pos="1620"/>
        </w:tabs>
        <w:adjustRightInd w:val="0"/>
        <w:snapToGrid w:val="0"/>
        <w:spacing w:line="560" w:lineRule="exact"/>
        <w:ind w:firstLine="0" w:firstLineChars="0"/>
        <w:jc w:val="center"/>
        <w:rPr>
          <w:rFonts w:hint="eastAsia" w:eastAsia="方正小标宋简体"/>
          <w:sz w:val="44"/>
          <w:szCs w:val="44"/>
        </w:rPr>
      </w:pPr>
      <w:r>
        <w:rPr>
          <w:rFonts w:hint="eastAsia" w:eastAsia="方正小标宋简体"/>
          <w:sz w:val="44"/>
          <w:szCs w:val="44"/>
        </w:rPr>
        <w:t>中华人民共和国教师法</w:t>
      </w:r>
    </w:p>
    <w:p>
      <w:pPr>
        <w:adjustRightInd w:val="0"/>
        <w:snapToGrid w:val="0"/>
        <w:spacing w:line="560" w:lineRule="exact"/>
        <w:ind w:left="0" w:leftChars="0" w:firstLine="0" w:firstLineChars="0"/>
        <w:jc w:val="center"/>
        <w:rPr>
          <w:rFonts w:hint="default" w:eastAsia="仿宋_GB2312"/>
          <w:sz w:val="32"/>
          <w:szCs w:val="32"/>
          <w:lang w:val="en-US" w:eastAsia="zh-CN"/>
        </w:rPr>
      </w:pPr>
      <w:r>
        <w:rPr>
          <w:rFonts w:hint="eastAsia" w:eastAsia="仿宋_GB2312"/>
          <w:b/>
          <w:bCs/>
          <w:sz w:val="32"/>
          <w:szCs w:val="32"/>
          <w:lang w:val="en-US" w:eastAsia="zh-CN"/>
        </w:rPr>
        <w:t>（节选）</w:t>
      </w:r>
    </w:p>
    <w:p>
      <w:pPr>
        <w:adjustRightInd w:val="0"/>
        <w:snapToGrid w:val="0"/>
        <w:spacing w:line="560" w:lineRule="exact"/>
        <w:ind w:firstLine="640" w:firstLineChars="200"/>
        <w:rPr>
          <w:rFonts w:eastAsia="仿宋_GB2312"/>
          <w:sz w:val="32"/>
          <w:szCs w:val="32"/>
        </w:rPr>
      </w:pPr>
      <w:r>
        <w:rPr>
          <w:rFonts w:hint="default" w:eastAsia="仿宋_GB2312"/>
          <w:sz w:val="32"/>
          <w:szCs w:val="32"/>
          <w:lang w:val="en-US" w:eastAsia="zh-CN"/>
        </w:rPr>
        <w:t>第十一条 取得教师资格应当具备的相应学历是：</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（一）取得幼儿园教师资格，应当具备幼儿师范学校毕业及其以上学历；</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（二）取得小学教师资格，应当具备中等师范学校毕业及其以上学历；</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（三）取得初级中学教师，初级职业学校文化、专业课教师资格，应当具备高等师范专科学校或者其他大学专科毕业及其以上学历；</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（五）取得高等学校教师资格，应当具备研究生或者大学本科毕业学历；</w:t>
      </w:r>
    </w:p>
    <w:p>
      <w:pPr>
        <w:adjustRightInd w:val="0"/>
        <w:snapToGrid w:val="0"/>
        <w:spacing w:line="560" w:lineRule="exact"/>
        <w:ind w:firstLine="640" w:firstLineChars="200"/>
        <w:rPr>
          <w:rFonts w:hint="default" w:eastAsia="仿宋_GB2312"/>
          <w:sz w:val="32"/>
          <w:szCs w:val="32"/>
        </w:rPr>
      </w:pPr>
      <w:r>
        <w:rPr>
          <w:rFonts w:hint="default" w:eastAsia="仿宋_GB2312"/>
          <w:sz w:val="32"/>
          <w:szCs w:val="32"/>
          <w:lang w:val="en-US" w:eastAsia="zh-CN"/>
        </w:rPr>
        <w:t>（六）取得成人教育教师资格，应当按照成人教育的层次、类别，分别具备高等、中等学校毕业及其以上学历。</w:t>
      </w:r>
    </w:p>
    <w:p>
      <w:pPr>
        <w:spacing w:line="560" w:lineRule="exact"/>
        <w:outlineLvl w:val="1"/>
        <w:rPr>
          <w:rFonts w:hint="default" w:ascii="黑体" w:hAnsi="宋体" w:eastAsia="黑体" w:cs="黑体"/>
          <w:color w:val="auto"/>
          <w:sz w:val="32"/>
          <w:szCs w:val="32"/>
          <w:lang w:val="en-US"/>
        </w:rPr>
      </w:pPr>
      <w:r>
        <w:rPr>
          <w:rFonts w:hint="eastAsia" w:ascii="仿宋_GB2312" w:hAnsi="仿宋_GB2312" w:eastAsia="仿宋_GB2312" w:cs="仿宋_GB2312"/>
          <w:color w:val="auto"/>
          <w:sz w:val="32"/>
          <w:szCs w:val="32"/>
          <w:lang w:eastAsia="zh-CN"/>
        </w:rPr>
        <w:br w:type="page"/>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auto"/>
          <w:sz w:val="44"/>
          <w:szCs w:val="44"/>
        </w:rPr>
      </w:pPr>
      <w:r>
        <w:rPr>
          <w:rFonts w:hint="eastAsia" w:ascii="方正小标宋简体" w:hAnsi="宋体" w:eastAsia="方正小标宋简体" w:cs="宋体"/>
          <w:color w:val="auto"/>
          <w:sz w:val="44"/>
          <w:szCs w:val="44"/>
        </w:rPr>
        <w:t>中小学教师资格考试笔试网上报名流程</w:t>
      </w:r>
    </w:p>
    <w:p>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44"/>
          <w:szCs w:val="44"/>
        </w:rPr>
      </w:pPr>
    </w:p>
    <w:p>
      <w:pPr>
        <w:keepNext w:val="0"/>
        <w:keepLines w:val="0"/>
        <w:pageBreakBefore w:val="0"/>
        <w:widowControl w:val="0"/>
        <w:kinsoku/>
        <w:wordWrap w:val="0"/>
        <w:overflowPunct/>
        <w:topLinePunct w:val="0"/>
        <w:autoSpaceDE/>
        <w:autoSpaceDN/>
        <w:bidi w:val="0"/>
        <w:adjustRightInd/>
        <w:snapToGrid/>
        <w:spacing w:line="580" w:lineRule="exact"/>
        <w:ind w:left="607"/>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第一步：</w:t>
      </w:r>
      <w:r>
        <w:rPr>
          <w:rFonts w:hint="eastAsia" w:ascii="仿宋_GB2312" w:hAnsi="仿宋_GB2312" w:eastAsia="仿宋_GB2312" w:cs="仿宋_GB2312"/>
          <w:sz w:val="32"/>
          <w:szCs w:val="32"/>
        </w:rPr>
        <w:t>登录“中小学教师资格考试网”（http://ntce.neea.edu.cn）。</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第二步：</w:t>
      </w:r>
      <w:r>
        <w:rPr>
          <w:rFonts w:hint="eastAsia" w:ascii="仿宋_GB2312" w:hAnsi="仿宋_GB2312" w:eastAsia="仿宋_GB2312" w:cs="仿宋_GB2312"/>
          <w:sz w:val="32"/>
          <w:szCs w:val="32"/>
        </w:rPr>
        <w:t>注册。笔试报名前，考生须（重新）注册取得网报系统登录密码（</w:t>
      </w: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号为本人姓名及身份证号）。</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第三步：</w:t>
      </w:r>
      <w:r>
        <w:rPr>
          <w:rFonts w:hint="eastAsia" w:ascii="仿宋_GB2312" w:hAnsi="仿宋_GB2312" w:eastAsia="仿宋_GB2312" w:cs="仿宋_GB2312"/>
          <w:sz w:val="32"/>
          <w:szCs w:val="32"/>
        </w:rPr>
        <w:t>签订诚信考试承诺书。新注册的考生用户必须先阅读考试承诺，确认遵守《诚信考试承诺书》的才可以进行下一步操作。</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第四步：</w:t>
      </w:r>
      <w:r>
        <w:rPr>
          <w:rFonts w:hint="eastAsia" w:ascii="仿宋_GB2312" w:hAnsi="仿宋_GB2312" w:eastAsia="仿宋_GB2312" w:cs="仿宋_GB2312"/>
          <w:sz w:val="32"/>
          <w:szCs w:val="32"/>
        </w:rPr>
        <w:t>阅读报考须知。</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第五步：</w:t>
      </w:r>
      <w:r>
        <w:rPr>
          <w:rFonts w:hint="eastAsia" w:ascii="仿宋_GB2312" w:hAnsi="仿宋_GB2312" w:eastAsia="仿宋_GB2312" w:cs="仿宋_GB2312"/>
          <w:sz w:val="32"/>
          <w:szCs w:val="32"/>
        </w:rPr>
        <w:t>填报个人信息。</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第六步：</w:t>
      </w:r>
      <w:r>
        <w:rPr>
          <w:rFonts w:hint="eastAsia" w:ascii="仿宋_GB2312" w:hAnsi="仿宋_GB2312" w:eastAsia="仿宋_GB2312" w:cs="仿宋_GB2312"/>
          <w:sz w:val="32"/>
          <w:szCs w:val="32"/>
        </w:rPr>
        <w:t>上传个人照片。照片要求：本人近6个月以内的免冠正面彩色证件照，白色背景为佳；照片中显示考生头部和肩的上部。不允许戴帽子、头巾、发带、墨镜；照片文件不大于200K，高不多于600像素，宽不多于400像素，格式为</w:t>
      </w:r>
      <w:r>
        <w:rPr>
          <w:rFonts w:hint="eastAsia" w:ascii="仿宋_GB2312" w:hAnsi="仿宋_GB2312" w:eastAsia="仿宋_GB2312" w:cs="仿宋_GB2312"/>
          <w:color w:val="auto"/>
          <w:kern w:val="0"/>
          <w:sz w:val="32"/>
          <w:szCs w:val="32"/>
        </w:rPr>
        <w:t>JPG/JPEG</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第七步：</w:t>
      </w:r>
      <w:r>
        <w:rPr>
          <w:rFonts w:hint="eastAsia" w:ascii="仿宋_GB2312" w:hAnsi="仿宋_GB2312" w:eastAsia="仿宋_GB2312" w:cs="仿宋_GB2312"/>
          <w:sz w:val="32"/>
          <w:szCs w:val="32"/>
        </w:rPr>
        <w:t>考试报名。根据页面提示操作。具体考试地点以考生下载的准考证上的地址为准。</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第八步：</w:t>
      </w:r>
      <w:r>
        <w:rPr>
          <w:rFonts w:hint="eastAsia" w:ascii="仿宋_GB2312" w:hAnsi="仿宋_GB2312" w:eastAsia="仿宋_GB2312" w:cs="仿宋_GB2312"/>
          <w:sz w:val="32"/>
          <w:szCs w:val="32"/>
        </w:rPr>
        <w:t>审核。考生等待考区教育考试机构网上审核。考生可自行登录网报系统查验审核状态，各考区不另行通知。因个人信息填报错误而导致审核未通过的考生，可及时修正个人信息，重新选择报考课程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再次提交报名申请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因个人信息查验未果</w:t>
      </w:r>
      <w:r>
        <w:rPr>
          <w:rFonts w:hint="eastAsia" w:ascii="仿宋_GB2312" w:hAnsi="仿宋_GB2312" w:eastAsia="仿宋_GB2312" w:cs="仿宋_GB2312"/>
          <w:b/>
          <w:bCs/>
          <w:sz w:val="32"/>
          <w:szCs w:val="32"/>
        </w:rPr>
        <w:t>而导致审核未通过的考生，</w:t>
      </w:r>
      <w:r>
        <w:rPr>
          <w:rFonts w:hint="eastAsia" w:ascii="仿宋_GB2312" w:hAnsi="仿宋_GB2312" w:eastAsia="仿宋_GB2312" w:cs="仿宋_GB2312"/>
          <w:b/>
          <w:bCs/>
          <w:sz w:val="32"/>
          <w:szCs w:val="32"/>
          <w:lang w:eastAsia="zh-CN"/>
        </w:rPr>
        <w:t>须根据审核反馈信息，登录</w:t>
      </w:r>
      <w:r>
        <w:rPr>
          <w:rFonts w:hint="eastAsia" w:ascii="仿宋_GB2312" w:hAnsi="仿宋_GB2312" w:eastAsia="仿宋_GB2312" w:cs="仿宋_GB2312"/>
          <w:b/>
          <w:bCs/>
          <w:sz w:val="32"/>
          <w:szCs w:val="32"/>
        </w:rPr>
        <w:t>广东省中小学教师资格考试（笔试）报名资料补充审核系统</w:t>
      </w:r>
      <w:r>
        <w:rPr>
          <w:rFonts w:hint="eastAsia" w:ascii="仿宋_GB2312" w:hAnsi="仿宋_GB2312" w:eastAsia="仿宋_GB2312" w:cs="仿宋_GB2312"/>
          <w:b/>
          <w:bCs/>
          <w:sz w:val="32"/>
          <w:szCs w:val="32"/>
          <w:lang w:eastAsia="zh-CN"/>
        </w:rPr>
        <w:t>（网址：</w:t>
      </w:r>
      <w:r>
        <w:rPr>
          <w:rFonts w:hint="eastAsia" w:ascii="仿宋_GB2312" w:hAnsi="仿宋_GB2312" w:eastAsia="仿宋_GB2312" w:cs="仿宋_GB2312"/>
          <w:b/>
          <w:bCs/>
          <w:sz w:val="32"/>
          <w:szCs w:val="32"/>
        </w:rPr>
        <w:t>https://www.eeagd.edu.cn/jszgsh</w:t>
      </w:r>
      <w:r>
        <w:rPr>
          <w:rFonts w:hint="eastAsia" w:ascii="仿宋_GB2312" w:hAnsi="仿宋_GB2312" w:eastAsia="仿宋_GB2312" w:cs="仿宋_GB2312"/>
          <w:b/>
          <w:bCs/>
          <w:sz w:val="32"/>
          <w:szCs w:val="32"/>
          <w:lang w:eastAsia="zh-CN"/>
        </w:rPr>
        <w:t>，手机及电脑均可登录），在指定时间内按</w:t>
      </w:r>
      <w:r>
        <w:rPr>
          <w:rFonts w:hint="eastAsia" w:ascii="仿宋_GB2312" w:hAnsi="仿宋_GB2312" w:eastAsia="仿宋_GB2312" w:cs="仿宋_GB2312"/>
          <w:b/>
          <w:bCs/>
          <w:sz w:val="32"/>
          <w:szCs w:val="32"/>
        </w:rPr>
        <w:t>规定</w:t>
      </w:r>
      <w:r>
        <w:rPr>
          <w:rFonts w:hint="eastAsia" w:ascii="仿宋_GB2312" w:hAnsi="仿宋_GB2312" w:eastAsia="仿宋_GB2312" w:cs="仿宋_GB2312"/>
          <w:b/>
          <w:bCs/>
          <w:sz w:val="32"/>
          <w:szCs w:val="32"/>
          <w:lang w:eastAsia="zh-CN"/>
        </w:rPr>
        <w:t>提交相应资料，并且返回报名系统</w:t>
      </w:r>
      <w:r>
        <w:rPr>
          <w:rFonts w:hint="eastAsia" w:ascii="仿宋_GB2312" w:hAnsi="仿宋_GB2312" w:eastAsia="仿宋_GB2312" w:cs="仿宋_GB2312"/>
          <w:b/>
          <w:bCs/>
          <w:sz w:val="32"/>
          <w:szCs w:val="32"/>
        </w:rPr>
        <w:t>再次提交报名申请。</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凡审核未通过且未在指定时间内再次提交报名申请的，视为放弃本次报名。</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第九步：</w:t>
      </w:r>
      <w:r>
        <w:rPr>
          <w:rFonts w:hint="eastAsia" w:ascii="仿宋_GB2312" w:hAnsi="仿宋_GB2312" w:eastAsia="仿宋_GB2312" w:cs="仿宋_GB2312"/>
          <w:sz w:val="32"/>
          <w:szCs w:val="32"/>
        </w:rPr>
        <w:t>缴费。网上审核通过后，在网上缴费截止日期前，考生登录中小学教师资格考试网上报名系统，按照系统提示在线支付考试费。缴费后考生可在网上报名系统中查询报名是否成功。未经审核或审核不通过的考生，不能网上支付考试费。审核通过，逾期未在网上缴纳考试费的考生，报名系统将视其为放弃报考，并自动注销该生当次报考信息。缴费成功后，考生报名成功，无论是否实际到考，考试费不予退还。</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成功报名的考生可于</w:t>
      </w:r>
      <w:r>
        <w:rPr>
          <w:rFonts w:hint="eastAsia" w:ascii="仿宋_GB2312" w:hAnsi="仿宋_GB2312" w:eastAsia="仿宋_GB2312" w:cs="仿宋_GB2312"/>
          <w:sz w:val="32"/>
          <w:szCs w:val="32"/>
          <w:lang w:val="en-US" w:eastAsia="zh-CN"/>
        </w:rPr>
        <w:t>2022年3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18：00登录“中小学教师资格考试网”（http://ntce.neea.edu.cn）报名系统，根据提示下载pdf准考证文件。下载后，仔细核对个人信息，并直接打印成准考证。确有困难无法打印者，可到所属考区教育考试机构申请免费打印准考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eastAsia="zh-CN"/>
        </w:rPr>
      </w:pPr>
      <w:r>
        <w:rPr>
          <w:rFonts w:ascii="仿宋" w:hAnsi="仿宋" w:eastAsia="仿宋"/>
          <w:color w:val="auto"/>
          <w:sz w:val="32"/>
          <w:szCs w:val="32"/>
        </w:rPr>
        <w:br w:type="page"/>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3</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auto"/>
          <w:sz w:val="44"/>
          <w:szCs w:val="44"/>
        </w:rPr>
      </w:pPr>
      <w:r>
        <w:rPr>
          <w:rFonts w:hint="eastAsia" w:ascii="方正小标宋简体" w:hAnsi="宋体" w:eastAsia="方正小标宋简体" w:cs="宋体"/>
          <w:color w:val="auto"/>
          <w:sz w:val="44"/>
          <w:szCs w:val="44"/>
          <w:lang w:val="en-US" w:eastAsia="zh-CN"/>
        </w:rPr>
        <w:t>考</w:t>
      </w:r>
      <w:r>
        <w:rPr>
          <w:rFonts w:hint="eastAsia" w:ascii="方正小标宋简体" w:hAnsi="宋体" w:eastAsia="方正小标宋简体" w:cs="宋体"/>
          <w:color w:val="auto"/>
          <w:sz w:val="44"/>
          <w:szCs w:val="44"/>
        </w:rPr>
        <w:t>生网上报名注意事项</w:t>
      </w:r>
    </w:p>
    <w:p>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1.考生报考前，务必关注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深圳市招生考试办公室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的官网或官微，</w:t>
      </w:r>
      <w:r>
        <w:rPr>
          <w:rFonts w:hint="eastAsia" w:ascii="仿宋_GB2312" w:hAnsi="仿宋_GB2312" w:eastAsia="仿宋_GB2312" w:cs="仿宋_GB2312"/>
          <w:color w:val="auto"/>
          <w:sz w:val="32"/>
          <w:szCs w:val="32"/>
          <w:lang w:val="en-US" w:eastAsia="zh-CN"/>
        </w:rPr>
        <w:t>查看</w:t>
      </w:r>
      <w:r>
        <w:rPr>
          <w:rFonts w:hint="eastAsia" w:ascii="仿宋_GB2312" w:hAnsi="仿宋_GB2312" w:eastAsia="仿宋_GB2312" w:cs="仿宋_GB2312"/>
          <w:color w:val="auto"/>
          <w:sz w:val="32"/>
          <w:szCs w:val="32"/>
        </w:rPr>
        <w:t>相关公告，了解</w:t>
      </w:r>
      <w:r>
        <w:rPr>
          <w:rFonts w:hint="eastAsia" w:ascii="仿宋_GB2312" w:hAnsi="仿宋_GB2312" w:eastAsia="仿宋_GB2312" w:cs="仿宋_GB2312"/>
          <w:color w:val="auto"/>
          <w:sz w:val="32"/>
          <w:szCs w:val="32"/>
          <w:lang w:val="en-US" w:eastAsia="zh-CN"/>
        </w:rPr>
        <w:t>具体</w:t>
      </w:r>
      <w:r>
        <w:rPr>
          <w:rFonts w:hint="eastAsia" w:ascii="仿宋_GB2312" w:hAnsi="仿宋_GB2312" w:eastAsia="仿宋_GB2312" w:cs="仿宋_GB2312"/>
          <w:color w:val="auto"/>
          <w:sz w:val="32"/>
          <w:szCs w:val="32"/>
        </w:rPr>
        <w:t>报名要求并按照执行。</w:t>
      </w:r>
    </w:p>
    <w:p>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2.考生报名填写个人信息，必须与身份证保持一致，使用简体字输入，不可使用繁体字。</w:t>
      </w:r>
    </w:p>
    <w:p>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3.凭广东省内居住证报名的考生，“居住证编号”一栏填写身份证号码</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.考生报名时必须规范填写学校名称，不可填写简称或不规范名称，以免因学校名称不符而被审核不通过。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考生必须本人通过“中小学教师资格考试网”（http://ntce.neea.edu.cn）报名系统进行网上报名，并对本人所填报的个人信息和报考信息准确性负责，报考信息一经审核确认，不得更改。禁止委托培训机构或学校团体替代考生报名，如因违反相关规定而造成信息有误或无法报考，责任由考生本人承担。</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考生应自行对照报考条件，如实填写个人情况并选择报考类别，保证本人的报名信息真实有效且具有报名资格。不符合报名条件而参加中小学教师资格考试笔试者，后果自负（在面试报名现场审查中将被取消面试资格或在后期申请认定教师资格时考试成绩无效）。</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.所有考生笔试报名前需要重新进行注册、填报个人信息并上传个人照片，重新注册操作不影响考生已获得的成绩。</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.所有审核不通过须重新修改报名信息（包括照片）的考生，必须同时重新选报考试科目。</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.考生可自行登录网报系统查验审核状态，各考区不另行通知。因个人信息填报错误而导致审核未通过的考生，可及时修正个人信息，重新选择报考课程，在规定时间内按要求再次提交报名申请。</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.如拟报考区额满，考生可选择</w:t>
      </w:r>
      <w:r>
        <w:rPr>
          <w:rFonts w:hint="eastAsia" w:ascii="仿宋_GB2312" w:hAnsi="仿宋_GB2312" w:eastAsia="仿宋_GB2312" w:cs="仿宋_GB2312"/>
          <w:color w:val="auto"/>
          <w:sz w:val="32"/>
          <w:szCs w:val="32"/>
          <w:lang w:val="en-US" w:eastAsia="zh-CN"/>
        </w:rPr>
        <w:t>深圳市</w:t>
      </w:r>
      <w:r>
        <w:rPr>
          <w:rFonts w:hint="eastAsia" w:ascii="仿宋_GB2312" w:hAnsi="仿宋_GB2312" w:eastAsia="仿宋_GB2312" w:cs="仿宋_GB2312"/>
          <w:color w:val="auto"/>
          <w:sz w:val="32"/>
          <w:szCs w:val="32"/>
        </w:rPr>
        <w:t>其它考区报考。</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如考生忘记网报登录密码，可通过网上报名系统提示操作，报名系统将把新的密码通过短信发送到考生报名时所填手机号码下。因此，考生在参加中小学教师资格考试期间，切勿更换手机号码。</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.考生网上报名上传照片要求：</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drawing>
          <wp:anchor distT="0" distB="0" distL="114300" distR="114300" simplePos="0" relativeHeight="251659264" behindDoc="0" locked="0" layoutInCell="1" allowOverlap="1">
            <wp:simplePos x="0" y="0"/>
            <wp:positionH relativeFrom="column">
              <wp:posOffset>4135120</wp:posOffset>
            </wp:positionH>
            <wp:positionV relativeFrom="paragraph">
              <wp:posOffset>226060</wp:posOffset>
            </wp:positionV>
            <wp:extent cx="1300480" cy="1624330"/>
            <wp:effectExtent l="0" t="0" r="13970" b="1397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rcRect l="11403" r="11440" b="20793"/>
                    <a:stretch>
                      <a:fillRect/>
                    </a:stretch>
                  </pic:blipFill>
                  <pic:spPr>
                    <a:xfrm>
                      <a:off x="0" y="0"/>
                      <a:ext cx="1300480" cy="1624330"/>
                    </a:xfrm>
                    <a:prstGeom prst="rect">
                      <a:avLst/>
                    </a:prstGeom>
                    <a:noFill/>
                    <a:ln>
                      <a:noFill/>
                    </a:ln>
                  </pic:spPr>
                </pic:pic>
              </a:graphicData>
            </a:graphic>
          </wp:anchor>
        </w:drawing>
      </w:r>
      <w:r>
        <w:rPr>
          <w:rFonts w:hint="eastAsia" w:ascii="仿宋_GB2312" w:hAnsi="仿宋_GB2312" w:eastAsia="仿宋_GB2312" w:cs="仿宋_GB2312"/>
          <w:color w:val="auto"/>
          <w:kern w:val="0"/>
          <w:sz w:val="32"/>
          <w:szCs w:val="32"/>
        </w:rPr>
        <w:t>（1）本人近6个月以内的免冠正面彩色证件照，白色背景为佳；</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（2）电子照片格式及大小：JPG/JPEG格式，</w:t>
      </w:r>
      <w:r>
        <w:rPr>
          <w:rFonts w:hint="eastAsia" w:ascii="仿宋_GB2312" w:hAnsi="仿宋_GB2312" w:eastAsia="仿宋_GB2312" w:cs="仿宋_GB2312"/>
          <w:color w:val="auto"/>
          <w:sz w:val="32"/>
          <w:szCs w:val="32"/>
        </w:rPr>
        <w:t>高不多于600像素，宽不多于400像素</w:t>
      </w:r>
      <w:r>
        <w:rPr>
          <w:rFonts w:hint="eastAsia" w:ascii="仿宋_GB2312" w:hAnsi="仿宋_GB2312" w:eastAsia="仿宋_GB2312" w:cs="仿宋_GB2312"/>
          <w:color w:val="auto"/>
          <w:kern w:val="0"/>
          <w:sz w:val="32"/>
          <w:szCs w:val="32"/>
        </w:rPr>
        <w:t>；</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（3）照片中显示考生头部和肩的上部；不允许</w:t>
      </w:r>
      <w:r>
        <w:rPr>
          <w:rFonts w:hint="eastAsia" w:ascii="仿宋_GB2312" w:hAnsi="仿宋_GB2312" w:eastAsia="仿宋_GB2312" w:cs="仿宋_GB2312"/>
          <w:color w:val="auto"/>
          <w:kern w:val="0"/>
          <w:sz w:val="32"/>
          <w:szCs w:val="32"/>
          <w:lang w:val="en-US" w:eastAsia="zh-CN"/>
        </w:rPr>
        <w:t>戴</w:t>
      </w:r>
      <w:bookmarkStart w:id="0" w:name="_GoBack"/>
      <w:bookmarkEnd w:id="0"/>
      <w:r>
        <w:rPr>
          <w:rFonts w:hint="eastAsia" w:ascii="仿宋_GB2312" w:hAnsi="仿宋_GB2312" w:eastAsia="仿宋_GB2312" w:cs="仿宋_GB2312"/>
          <w:color w:val="auto"/>
          <w:kern w:val="0"/>
          <w:sz w:val="32"/>
          <w:szCs w:val="32"/>
        </w:rPr>
        <w:t>帽子、头巾、发带、墨镜；</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（4）此照片将用于准考证以及考试合格证明，请考生上传照片时慎重选用。</w:t>
      </w:r>
    </w:p>
    <w:p>
      <w:pPr>
        <w:keepNext w:val="0"/>
        <w:keepLines w:val="0"/>
        <w:pageBreakBefore w:val="0"/>
        <w:widowControl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备注：建议使用Microsoft Office Picture Manager,图画, Photoshop, ACDsee等工具,将照片进行剪裁压缩。</w:t>
      </w: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4</w:t>
      </w:r>
    </w:p>
    <w:p>
      <w:pPr>
        <w:spacing w:line="560" w:lineRule="exact"/>
        <w:jc w:val="center"/>
        <w:outlineLvl w:val="1"/>
        <w:rPr>
          <w:rFonts w:hint="eastAsia" w:ascii="方正小标宋简体" w:hAnsi="宋体" w:eastAsia="方正小标宋简体" w:cs="宋体"/>
          <w:color w:val="auto"/>
          <w:sz w:val="44"/>
          <w:szCs w:val="44"/>
        </w:rPr>
      </w:pPr>
      <w:r>
        <w:rPr>
          <w:rFonts w:hint="eastAsia" w:ascii="方正小标宋简体" w:hAnsi="宋体" w:eastAsia="方正小标宋简体" w:cs="宋体"/>
          <w:color w:val="auto"/>
          <w:sz w:val="44"/>
          <w:szCs w:val="44"/>
        </w:rPr>
        <w:t>中小学教师资格考试（笔试）科目代码列表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1"/>
        <w:gridCol w:w="5256"/>
        <w:gridCol w:w="910"/>
        <w:gridCol w:w="2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exact"/>
          <w:tblHeader/>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科目名称</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科目</w:t>
            </w:r>
          </w:p>
          <w:p>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代码</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b/>
                <w:bCs/>
                <w:color w:val="auto"/>
                <w:sz w:val="24"/>
              </w:rPr>
            </w:pPr>
            <w:r>
              <w:rPr>
                <w:rFonts w:hint="eastAsia" w:ascii="仿宋" w:hAnsi="仿宋" w:eastAsia="仿宋" w:cs="仿宋"/>
                <w:b/>
                <w:bCs/>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（一）</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幼儿园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1"/>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综合素质（幼儿园）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1"/>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保教知识与能力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（二）</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小学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综合素质（小学）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综合素质（小学）（音体美专业）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201A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教育教学知识与能力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2"/>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教育教学知识与能力（音体美专业）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202A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（三）</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语文学科知识与教学能力（初级中学）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数学学科知识与教学能力（初级中学）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英语学科知识与教学能力（初级中学）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3"/>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物理学科知识与教学能力（初级中学）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306</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化学学科知识与教学能力（初级中学）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307</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生物学科知识与教学能力（初级中学）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308</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道德与法治学科知识与教学能力（初级中学）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309</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历史学科知识与教学能力（初级中学）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310</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地理学科知识与教学能力（初级中学）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音乐学科知识与教学能力（初级中学）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体育与健康学科知识与教学能力（初级中学）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美术学科知识与教学能力（初级中学）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信息技术学科知识与教学能力（初级中学）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历史与社会学科知识与教学能力（初级中学）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316</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科学学科知识与教学能力（初级中学）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317</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（四）</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高中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综合素质（中学）（音体美专业）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301A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教育知识与能力（音体美专业）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302A</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初中、高中相同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语文学科知识与教学能力（高级中学）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数学学科知识与教学能力（高级中学）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英语学科知识与教学能力（高级中学）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物理学科知识与教学能力（高级中学）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406</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化学学科知识与教学能力（高级中学）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407</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4"/>
              </w:numPr>
              <w:adjustRightInd w:val="0"/>
              <w:snapToGrid w:val="0"/>
              <w:spacing w:line="240" w:lineRule="auto"/>
              <w:ind w:left="0" w:firstLine="0"/>
              <w:jc w:val="center"/>
              <w:rPr>
                <w:rFonts w:hint="eastAsia" w:ascii="仿宋" w:hAnsi="仿宋" w:eastAsia="仿宋" w:cs="仿宋"/>
                <w:color w:val="auto"/>
                <w:kern w:val="2"/>
                <w:sz w:val="24"/>
                <w:lang w:val="en-US" w:eastAsia="zh-CN"/>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生物学科知识与教学能力（高级中学）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408</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思想政治学科知识与教学能力（高级中学）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409</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历史学科知识与教学能力（高级中学）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410</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地理学科知识与教学能力（高级中学）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411</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音乐学科知识与教学能力（高级中学）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412</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体育与健康学科知识与教学能力（高级中学）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413</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美术学科知识与教学能力（高级中学）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414</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信息技术学科知识与教学能力（高级中学）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415</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41"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adjustRightInd w:val="0"/>
              <w:snapToGrid w:val="0"/>
              <w:ind w:left="0" w:firstLine="0"/>
              <w:jc w:val="center"/>
              <w:rPr>
                <w:rFonts w:hint="eastAsia" w:ascii="仿宋" w:hAnsi="仿宋" w:eastAsia="仿宋" w:cs="仿宋"/>
                <w:color w:val="auto"/>
                <w:sz w:val="24"/>
              </w:rPr>
            </w:pP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通用技术学科知识与教学能力（高级中学）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418</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 w:hAnsi="仿宋" w:eastAsia="仿宋" w:cs="仿宋"/>
                <w:color w:val="auto"/>
                <w:sz w:val="24"/>
              </w:rPr>
            </w:pPr>
          </w:p>
        </w:tc>
      </w:tr>
    </w:tbl>
    <w:p>
      <w:pPr>
        <w:keepNext w:val="0"/>
        <w:keepLines w:val="0"/>
        <w:pageBreakBefore w:val="0"/>
        <w:widowControl w:val="0"/>
        <w:kinsoku/>
        <w:wordWrap/>
        <w:overflowPunct/>
        <w:topLinePunct w:val="0"/>
        <w:autoSpaceDE/>
        <w:autoSpaceDN/>
        <w:bidi w:val="0"/>
        <w:adjustRightInd/>
        <w:snapToGrid/>
        <w:spacing w:line="450" w:lineRule="exact"/>
        <w:ind w:left="0" w:leftChars="0" w:right="0" w:rightChars="0"/>
        <w:jc w:val="both"/>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中小学教师资格考试</w:t>
      </w:r>
      <w:r>
        <w:rPr>
          <w:rFonts w:hint="eastAsia" w:ascii="仿宋_GB2312" w:hAnsi="仿宋_GB2312" w:eastAsia="仿宋_GB2312" w:cs="仿宋_GB2312"/>
          <w:b/>
          <w:bCs/>
          <w:color w:val="auto"/>
          <w:sz w:val="30"/>
          <w:szCs w:val="30"/>
          <w:lang w:eastAsia="zh-CN"/>
        </w:rPr>
        <w:t>（</w:t>
      </w:r>
      <w:r>
        <w:rPr>
          <w:rFonts w:hint="eastAsia" w:ascii="仿宋_GB2312" w:hAnsi="仿宋_GB2312" w:eastAsia="仿宋_GB2312" w:cs="仿宋_GB2312"/>
          <w:b/>
          <w:bCs/>
          <w:color w:val="auto"/>
          <w:sz w:val="30"/>
          <w:szCs w:val="30"/>
        </w:rPr>
        <w:t>笔试</w:t>
      </w:r>
      <w:r>
        <w:rPr>
          <w:rFonts w:hint="eastAsia" w:ascii="仿宋_GB2312" w:hAnsi="仿宋_GB2312" w:eastAsia="仿宋_GB2312" w:cs="仿宋_GB2312"/>
          <w:b/>
          <w:bCs/>
          <w:color w:val="auto"/>
          <w:sz w:val="30"/>
          <w:szCs w:val="30"/>
          <w:lang w:eastAsia="zh-CN"/>
        </w:rPr>
        <w:t>）</w:t>
      </w:r>
      <w:r>
        <w:rPr>
          <w:rFonts w:hint="eastAsia" w:ascii="仿宋_GB2312" w:hAnsi="仿宋_GB2312" w:eastAsia="仿宋_GB2312" w:cs="仿宋_GB2312"/>
          <w:b/>
          <w:bCs/>
          <w:color w:val="auto"/>
          <w:sz w:val="30"/>
          <w:szCs w:val="30"/>
        </w:rPr>
        <w:t>科目说明如下:</w:t>
      </w:r>
    </w:p>
    <w:p>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1.幼儿园教师资格考试笔试科目共两科：科目一为《综合素质》，科目二为《保教知识与能力》。</w:t>
      </w:r>
    </w:p>
    <w:p>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2.小学教师资格考试笔试科目共两科：科目一为《综合素质》，科目二为《教育教学知识与能力》。</w:t>
      </w:r>
    </w:p>
    <w:p>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default"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3.初级中学、高级中学教师资格考试笔试科目共三科：科目一为《综合素质》，科目二为《教育知识与能力》，科目三为《学科知识与教学能力》。</w:t>
      </w:r>
    </w:p>
    <w:p>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default"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rPr>
        <w:t>初级中学笔试科目中，</w:t>
      </w:r>
      <w:r>
        <w:rPr>
          <w:rFonts w:hint="default" w:ascii="仿宋_GB2312" w:hAnsi="仿宋_GB2312" w:eastAsia="仿宋_GB2312" w:cs="仿宋_GB2312"/>
          <w:color w:val="auto"/>
          <w:sz w:val="30"/>
          <w:szCs w:val="30"/>
        </w:rPr>
        <w:t>原“</w:t>
      </w:r>
      <w:r>
        <w:rPr>
          <w:rFonts w:hint="eastAsia" w:ascii="仿宋_GB2312" w:hAnsi="仿宋_GB2312" w:eastAsia="仿宋_GB2312" w:cs="仿宋_GB2312"/>
          <w:color w:val="auto"/>
          <w:sz w:val="30"/>
          <w:szCs w:val="30"/>
        </w:rPr>
        <w:t>思想品德学科知识与教学能力（初级中学）”</w:t>
      </w:r>
      <w:r>
        <w:rPr>
          <w:rFonts w:hint="default" w:ascii="仿宋_GB2312" w:hAnsi="仿宋_GB2312" w:eastAsia="仿宋_GB2312" w:cs="仿宋_GB2312"/>
          <w:color w:val="auto"/>
          <w:sz w:val="30"/>
          <w:szCs w:val="30"/>
        </w:rPr>
        <w:t>（科目代码：309）</w:t>
      </w:r>
      <w:r>
        <w:rPr>
          <w:rFonts w:hint="eastAsia" w:ascii="仿宋_GB2312" w:hAnsi="仿宋_GB2312" w:eastAsia="仿宋_GB2312" w:cs="仿宋_GB2312"/>
          <w:color w:val="auto"/>
          <w:sz w:val="30"/>
          <w:szCs w:val="30"/>
        </w:rPr>
        <w:t>调整为“道德与法治学科知识与教学能力（初级中学）</w:t>
      </w:r>
      <w:r>
        <w:rPr>
          <w:rFonts w:hint="default" w:ascii="仿宋_GB2312" w:hAnsi="仿宋_GB2312" w:eastAsia="仿宋_GB2312" w:cs="仿宋_GB2312"/>
          <w:color w:val="auto"/>
          <w:sz w:val="30"/>
          <w:szCs w:val="30"/>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default" w:ascii="仿宋_GB2312" w:hAnsi="仿宋_GB2312" w:eastAsia="仿宋_GB2312" w:cs="仿宋_GB2312"/>
          <w:color w:val="auto"/>
          <w:sz w:val="30"/>
          <w:szCs w:val="30"/>
        </w:rPr>
        <w:t>5</w:t>
      </w:r>
      <w:r>
        <w:rPr>
          <w:rFonts w:hint="eastAsia" w:ascii="仿宋_GB2312" w:hAnsi="仿宋_GB2312" w:eastAsia="仿宋_GB2312" w:cs="仿宋_GB2312"/>
          <w:color w:val="auto"/>
          <w:sz w:val="30"/>
          <w:szCs w:val="30"/>
        </w:rPr>
        <w:t>.初级中学和高级中学的《学科知识与教学能力》科目按教育部有关规定执行。初级中学《学科知识与教学能力》科目分为语文、数学、英语、物理、化学、生物、</w:t>
      </w:r>
      <w:r>
        <w:rPr>
          <w:rFonts w:hint="default" w:ascii="仿宋_GB2312" w:hAnsi="仿宋_GB2312" w:eastAsia="仿宋_GB2312" w:cs="仿宋_GB2312"/>
          <w:color w:val="auto"/>
          <w:sz w:val="30"/>
          <w:szCs w:val="30"/>
        </w:rPr>
        <w:t>道德与法治</w:t>
      </w:r>
      <w:r>
        <w:rPr>
          <w:rFonts w:hint="eastAsia" w:ascii="仿宋_GB2312" w:hAnsi="仿宋_GB2312" w:eastAsia="仿宋_GB2312" w:cs="仿宋_GB2312"/>
          <w:color w:val="auto"/>
          <w:sz w:val="30"/>
          <w:szCs w:val="30"/>
        </w:rPr>
        <w:t>、历史、地理、音乐、体育与健康、美术、信息技术、历史与社会、科学等15门科目，高级中学《学科知识与教学能力》科目分为语文、数学、英语、物理、化学、生物、思想政治、历史、地理、音乐、体育与健康、美术、信息技术、通用技术等14门科目。</w:t>
      </w:r>
    </w:p>
    <w:p>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default" w:ascii="仿宋_GB2312" w:hAnsi="仿宋_GB2312" w:eastAsia="仿宋_GB2312" w:cs="仿宋_GB2312"/>
          <w:color w:val="auto"/>
          <w:sz w:val="30"/>
          <w:szCs w:val="30"/>
        </w:rPr>
        <w:t>6</w:t>
      </w:r>
      <w:r>
        <w:rPr>
          <w:rFonts w:hint="eastAsia" w:ascii="仿宋_GB2312" w:hAnsi="仿宋_GB2312" w:eastAsia="仿宋_GB2312" w:cs="仿宋_GB2312"/>
          <w:color w:val="auto"/>
          <w:sz w:val="30"/>
          <w:szCs w:val="30"/>
        </w:rPr>
        <w:t>.申请中等职业学校文化课教师资格的人员参加高级中学教师资格考试。</w:t>
      </w:r>
    </w:p>
    <w:p>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default" w:ascii="仿宋_GB2312" w:hAnsi="仿宋_GB2312" w:eastAsia="仿宋_GB2312" w:cs="仿宋_GB2312"/>
          <w:color w:val="auto"/>
          <w:sz w:val="30"/>
          <w:szCs w:val="30"/>
        </w:rPr>
        <w:t>7</w:t>
      </w:r>
      <w:r>
        <w:rPr>
          <w:rFonts w:hint="eastAsia" w:ascii="仿宋_GB2312" w:hAnsi="仿宋_GB2312" w:eastAsia="仿宋_GB2312" w:cs="仿宋_GB2312"/>
          <w:color w:val="auto"/>
          <w:sz w:val="30"/>
          <w:szCs w:val="30"/>
        </w:rPr>
        <w:t>.中等职业学校专业课教师和中等职业学校实习指导教师资格考试科目共三科：科目一为《综合素质》，科目二为《教育知识与能力》，科目三为《专业知识与教学能力》，其中科目三的考查结合面试环节进行。</w:t>
      </w:r>
    </w:p>
    <w:p>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default" w:ascii="仿宋_GB2312" w:hAnsi="仿宋_GB2312" w:eastAsia="仿宋_GB2312" w:cs="仿宋_GB2312"/>
          <w:color w:val="auto"/>
          <w:sz w:val="30"/>
          <w:szCs w:val="30"/>
        </w:rPr>
        <w:t>8</w:t>
      </w:r>
      <w:r>
        <w:rPr>
          <w:rFonts w:hint="eastAsia" w:ascii="仿宋_GB2312" w:hAnsi="仿宋_GB2312" w:eastAsia="仿宋_GB2312" w:cs="仿宋_GB2312"/>
          <w:color w:val="auto"/>
          <w:sz w:val="30"/>
          <w:szCs w:val="30"/>
        </w:rPr>
        <w:t>.音、体、美专业考生的笔试公共科目一、科目二（科目代码：201、202、301、302）实行单独编码（相应科目代码：201A、202A、301A、302A），音、体、美专业考生在笔试报名时应选报单独编码的公共科目。取得科目201A、202A合格的考生，面试仅限于参加小学类别音、体、美专业科目；取得科目301A、302A合格的考生，面试仅限于参加初中、高中、中职类别音、体、美专业科目。考生已获得科目201、202、301、302合格成绩，可相应替代科目201A、202A、301A、302A合格成绩；考生已获得科目201A、202A、301A、302A合格成绩不可替代科目201、202、301、302合格成绩。</w:t>
      </w:r>
    </w:p>
    <w:p>
      <w:pPr>
        <w:keepNext w:val="0"/>
        <w:keepLines w:val="0"/>
        <w:pageBreakBefore w:val="0"/>
        <w:widowControl w:val="0"/>
        <w:kinsoku/>
        <w:wordWrap/>
        <w:overflowPunct/>
        <w:topLinePunct w:val="0"/>
        <w:autoSpaceDE/>
        <w:autoSpaceDN/>
        <w:bidi w:val="0"/>
        <w:adjustRightInd w:val="0"/>
        <w:snapToGrid w:val="0"/>
        <w:spacing w:line="420" w:lineRule="exact"/>
        <w:ind w:firstLine="600" w:firstLineChars="200"/>
        <w:textAlignment w:val="auto"/>
        <w:rPr>
          <w:rFonts w:hint="eastAsia" w:ascii="仿宋_GB2312" w:hAnsi="仿宋_GB2312" w:eastAsia="仿宋_GB2312" w:cs="仿宋_GB2312"/>
          <w:color w:val="auto"/>
          <w:sz w:val="30"/>
          <w:szCs w:val="30"/>
        </w:rPr>
      </w:pPr>
      <w:r>
        <w:rPr>
          <w:rFonts w:hint="default" w:ascii="仿宋_GB2312" w:hAnsi="仿宋_GB2312" w:eastAsia="仿宋_GB2312" w:cs="仿宋_GB2312"/>
          <w:color w:val="auto"/>
          <w:sz w:val="30"/>
          <w:szCs w:val="30"/>
        </w:rPr>
        <w:t>9</w:t>
      </w:r>
      <w:r>
        <w:rPr>
          <w:rFonts w:hint="eastAsia" w:ascii="仿宋_GB2312" w:hAnsi="仿宋_GB2312" w:eastAsia="仿宋_GB2312" w:cs="仿宋_GB2312"/>
          <w:color w:val="auto"/>
          <w:sz w:val="30"/>
          <w:szCs w:val="30"/>
        </w:rPr>
        <w:t>.初中、高中、中职文化课类别“心理健康教育”、“日语”、“俄语”学科的笔试科目一、科目二与已开考学科一致，笔试科目三《学科知识与教学能力》结合面试一并考核。</w:t>
      </w:r>
    </w:p>
    <w:p>
      <w:pPr>
        <w:adjustRightInd w:val="0"/>
        <w:snapToGrid w:val="0"/>
        <w:spacing w:line="560" w:lineRule="exact"/>
        <w:ind w:firstLine="600" w:firstLineChars="200"/>
        <w:rPr>
          <w:rFonts w:hint="eastAsia" w:ascii="仿宋_GB2312" w:hAnsi="仿宋_GB2312" w:eastAsia="仿宋_GB2312" w:cs="仿宋_GB2312"/>
          <w:color w:val="auto"/>
          <w:sz w:val="30"/>
          <w:szCs w:val="30"/>
        </w:rPr>
        <w:sectPr>
          <w:pgSz w:w="11907" w:h="16840"/>
          <w:pgMar w:top="1814" w:right="1474" w:bottom="1814" w:left="1587" w:header="851" w:footer="992" w:gutter="0"/>
          <w:pgBorders>
            <w:top w:val="none" w:sz="0" w:space="0"/>
            <w:left w:val="none" w:sz="0" w:space="0"/>
            <w:bottom w:val="none" w:sz="0" w:space="0"/>
            <w:right w:val="none" w:sz="0" w:space="0"/>
          </w:pgBorders>
          <w:pgNumType w:fmt="decimal"/>
          <w:cols w:space="720" w:num="1"/>
          <w:rtlGutter w:val="0"/>
          <w:docGrid w:type="lines" w:linePitch="286" w:charSpace="0"/>
        </w:sect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color w:val="auto"/>
          <w:sz w:val="40"/>
          <w:szCs w:val="40"/>
          <w:lang w:val="en-US" w:eastAsia="zh-CN"/>
        </w:rPr>
      </w:pPr>
      <w:r>
        <w:rPr>
          <w:rFonts w:hint="eastAsia" w:ascii="方正小标宋简体" w:hAnsi="宋体" w:eastAsia="方正小标宋简体"/>
          <w:color w:val="auto"/>
          <w:sz w:val="40"/>
          <w:szCs w:val="40"/>
          <w:lang w:val="en-US" w:eastAsia="zh-CN"/>
        </w:rPr>
        <w:t>2022年上半年中小学教师资格考试（笔试）考生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color w:val="auto"/>
          <w:sz w:val="40"/>
          <w:szCs w:val="40"/>
          <w:lang w:val="en-US" w:eastAsia="zh-CN"/>
        </w:rPr>
      </w:pPr>
      <w:r>
        <w:rPr>
          <w:rFonts w:hint="eastAsia" w:ascii="方正小标宋简体" w:hAnsi="宋体" w:eastAsia="方正小标宋简体"/>
          <w:color w:val="auto"/>
          <w:sz w:val="40"/>
          <w:szCs w:val="40"/>
          <w:lang w:val="en-US" w:eastAsia="zh-CN"/>
        </w:rPr>
        <w:t>健康监测表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姓名（正楷手写）：                    身份证号码：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准考证号码：                          联系电话：                      </w:t>
      </w:r>
    </w:p>
    <w:tbl>
      <w:tblPr>
        <w:tblStyle w:val="4"/>
        <w:tblW w:w="0" w:type="auto"/>
        <w:jc w:val="center"/>
        <w:tblLayout w:type="fixed"/>
        <w:tblCellMar>
          <w:top w:w="15" w:type="dxa"/>
          <w:left w:w="15" w:type="dxa"/>
          <w:bottom w:w="15" w:type="dxa"/>
          <w:right w:w="15" w:type="dxa"/>
        </w:tblCellMar>
      </w:tblPr>
      <w:tblGrid>
        <w:gridCol w:w="1246"/>
        <w:gridCol w:w="720"/>
        <w:gridCol w:w="2998"/>
        <w:gridCol w:w="1095"/>
        <w:gridCol w:w="795"/>
        <w:gridCol w:w="2009"/>
        <w:gridCol w:w="1051"/>
      </w:tblGrid>
      <w:tr>
        <w:tblPrEx>
          <w:tblCellMar>
            <w:top w:w="15" w:type="dxa"/>
            <w:left w:w="15" w:type="dxa"/>
            <w:bottom w:w="15" w:type="dxa"/>
            <w:right w:w="15" w:type="dxa"/>
          </w:tblCellMar>
        </w:tblPrEx>
        <w:trPr>
          <w:trHeight w:val="352" w:hRule="atLeast"/>
          <w:tblHeader/>
          <w:jc w:val="center"/>
        </w:trPr>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Cs w:val="20"/>
              </w:rPr>
            </w:pPr>
            <w:r>
              <w:rPr>
                <w:rFonts w:hint="eastAsia" w:ascii="仿宋_GB2312" w:hAnsi="仿宋_GB2312" w:eastAsia="仿宋_GB2312" w:cs="仿宋_GB2312"/>
                <w:kern w:val="0"/>
                <w:szCs w:val="20"/>
                <w:lang w:bidi="ar"/>
              </w:rPr>
              <w:t>日期</w:t>
            </w:r>
          </w:p>
        </w:tc>
        <w:tc>
          <w:tcPr>
            <w:tcW w:w="37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Cs w:val="20"/>
              </w:rPr>
            </w:pPr>
            <w:r>
              <w:rPr>
                <w:rFonts w:hint="eastAsia" w:ascii="仿宋_GB2312" w:hAnsi="仿宋_GB2312" w:eastAsia="仿宋_GB2312" w:cs="仿宋_GB2312"/>
                <w:kern w:val="0"/>
                <w:szCs w:val="20"/>
                <w:lang w:bidi="ar"/>
              </w:rPr>
              <w:t>健康信息</w:t>
            </w:r>
          </w:p>
        </w:tc>
        <w:tc>
          <w:tcPr>
            <w:tcW w:w="389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Cs w:val="20"/>
              </w:rPr>
            </w:pPr>
            <w:r>
              <w:rPr>
                <w:rFonts w:hint="eastAsia" w:ascii="仿宋_GB2312" w:hAnsi="仿宋_GB2312" w:eastAsia="仿宋_GB2312" w:cs="仿宋_GB2312"/>
                <w:kern w:val="0"/>
                <w:szCs w:val="20"/>
                <w:lang w:bidi="ar"/>
              </w:rPr>
              <w:t>行程记录</w:t>
            </w:r>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Cs w:val="20"/>
                <w:lang w:bidi="ar"/>
              </w:rPr>
              <w:t>14天内是否与确诊病例接触</w:t>
            </w:r>
          </w:p>
        </w:tc>
      </w:tr>
      <w:tr>
        <w:tblPrEx>
          <w:tblCellMar>
            <w:top w:w="15" w:type="dxa"/>
            <w:left w:w="15" w:type="dxa"/>
            <w:bottom w:w="15" w:type="dxa"/>
            <w:right w:w="15" w:type="dxa"/>
          </w:tblCellMar>
        </w:tblPrEx>
        <w:trPr>
          <w:trHeight w:val="531" w:hRule="atLeast"/>
          <w:tblHeader/>
          <w:jc w:val="center"/>
        </w:trPr>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szCs w:val="20"/>
              </w:rPr>
            </w:pPr>
          </w:p>
        </w:tc>
        <w:tc>
          <w:tcPr>
            <w:tcW w:w="37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Cs w:val="20"/>
              </w:rPr>
            </w:pPr>
            <w:r>
              <w:rPr>
                <w:rFonts w:hint="eastAsia" w:ascii="仿宋_GB2312" w:hAnsi="仿宋_GB2312" w:eastAsia="仿宋_GB2312" w:cs="仿宋_GB2312"/>
                <w:kern w:val="0"/>
                <w:szCs w:val="20"/>
                <w:lang w:bidi="ar"/>
              </w:rPr>
              <w:t>是否离开过广东省</w:t>
            </w:r>
          </w:p>
        </w:tc>
        <w:tc>
          <w:tcPr>
            <w:tcW w:w="28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kern w:val="0"/>
                <w:szCs w:val="20"/>
                <w:lang w:bidi="ar"/>
              </w:rPr>
            </w:pPr>
            <w:r>
              <w:rPr>
                <w:rFonts w:hint="eastAsia" w:ascii="仿宋_GB2312" w:hAnsi="仿宋_GB2312" w:eastAsia="仿宋_GB2312" w:cs="仿宋_GB2312"/>
                <w:kern w:val="0"/>
                <w:szCs w:val="20"/>
                <w:lang w:bidi="ar"/>
              </w:rPr>
              <w:t>是否去过疫情高、中风险及</w:t>
            </w:r>
          </w:p>
          <w:p>
            <w:pPr>
              <w:widowControl/>
              <w:adjustRightInd w:val="0"/>
              <w:snapToGrid w:val="0"/>
              <w:jc w:val="center"/>
              <w:textAlignment w:val="center"/>
              <w:rPr>
                <w:rFonts w:hint="eastAsia" w:ascii="仿宋_GB2312" w:hAnsi="仿宋_GB2312" w:eastAsia="仿宋_GB2312" w:cs="仿宋_GB2312"/>
                <w:szCs w:val="20"/>
              </w:rPr>
            </w:pPr>
            <w:r>
              <w:rPr>
                <w:rFonts w:hint="eastAsia" w:ascii="仿宋_GB2312" w:hAnsi="仿宋_GB2312" w:eastAsia="仿宋_GB2312" w:cs="仿宋_GB2312"/>
                <w:kern w:val="0"/>
                <w:szCs w:val="20"/>
                <w:lang w:bidi="ar"/>
              </w:rPr>
              <w:t>重点地区</w:t>
            </w: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b/>
                <w:sz w:val="20"/>
                <w:szCs w:val="20"/>
              </w:rPr>
            </w:pP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2</w:t>
            </w:r>
            <w:r>
              <w:rPr>
                <w:rFonts w:hint="eastAsia" w:ascii="仿宋_GB2312" w:hAnsi="仿宋_GB2312" w:eastAsia="仿宋_GB2312" w:cs="仿宋_GB2312"/>
                <w:kern w:val="0"/>
                <w:sz w:val="20"/>
                <w:szCs w:val="20"/>
                <w:lang w:bidi="ar"/>
              </w:rPr>
              <w:t>月</w:t>
            </w:r>
            <w:r>
              <w:rPr>
                <w:rFonts w:hint="eastAsia" w:ascii="仿宋_GB2312" w:hAnsi="仿宋_GB2312" w:eastAsia="仿宋_GB2312" w:cs="仿宋_GB2312"/>
                <w:kern w:val="0"/>
                <w:sz w:val="20"/>
                <w:szCs w:val="20"/>
                <w:lang w:val="en-US" w:eastAsia="zh-CN" w:bidi="ar"/>
              </w:rPr>
              <w:t>2</w:t>
            </w:r>
            <w:r>
              <w:rPr>
                <w:rFonts w:hint="eastAsia" w:ascii="仿宋_GB2312" w:hAnsi="仿宋_GB2312" w:eastAsia="仿宋_GB2312" w:cs="仿宋_GB2312"/>
                <w:kern w:val="0"/>
                <w:sz w:val="20"/>
                <w:szCs w:val="20"/>
                <w:lang w:bidi="ar"/>
              </w:rPr>
              <w:t>6日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bidi="ar"/>
              </w:rPr>
              <w:t>2</w:t>
            </w:r>
            <w:r>
              <w:rPr>
                <w:rFonts w:hint="eastAsia" w:ascii="仿宋_GB2312" w:hAnsi="仿宋_GB2312" w:eastAsia="仿宋_GB2312" w:cs="仿宋_GB2312"/>
                <w:kern w:val="0"/>
                <w:sz w:val="20"/>
                <w:szCs w:val="20"/>
                <w:lang w:bidi="ar"/>
              </w:rPr>
              <w:t>月</w:t>
            </w:r>
            <w:r>
              <w:rPr>
                <w:rFonts w:hint="eastAsia" w:ascii="仿宋_GB2312" w:hAnsi="仿宋_GB2312" w:eastAsia="仿宋_GB2312" w:cs="仿宋_GB2312"/>
                <w:kern w:val="0"/>
                <w:sz w:val="20"/>
                <w:szCs w:val="20"/>
                <w:lang w:val="en-US" w:eastAsia="zh-CN" w:bidi="ar"/>
              </w:rPr>
              <w:t>2</w:t>
            </w:r>
            <w:r>
              <w:rPr>
                <w:rFonts w:hint="eastAsia" w:ascii="仿宋_GB2312" w:hAnsi="仿宋_GB2312" w:eastAsia="仿宋_GB2312" w:cs="仿宋_GB2312"/>
                <w:kern w:val="0"/>
                <w:sz w:val="20"/>
                <w:szCs w:val="20"/>
                <w:lang w:bidi="ar"/>
              </w:rPr>
              <w:t>7日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val="en-US" w:eastAsia="zh-CN" w:bidi="ar"/>
              </w:rPr>
              <w:t>2</w:t>
            </w:r>
            <w:r>
              <w:rPr>
                <w:rFonts w:hint="eastAsia" w:ascii="仿宋_GB2312" w:hAnsi="仿宋_GB2312" w:eastAsia="仿宋_GB2312" w:cs="仿宋_GB2312"/>
                <w:kern w:val="0"/>
                <w:sz w:val="20"/>
                <w:szCs w:val="20"/>
                <w:lang w:bidi="ar"/>
              </w:rPr>
              <w:t>月</w:t>
            </w:r>
            <w:r>
              <w:rPr>
                <w:rFonts w:hint="eastAsia" w:ascii="仿宋_GB2312" w:hAnsi="仿宋_GB2312" w:eastAsia="仿宋_GB2312" w:cs="仿宋_GB2312"/>
                <w:kern w:val="0"/>
                <w:sz w:val="20"/>
                <w:szCs w:val="20"/>
                <w:lang w:val="en-US" w:eastAsia="zh-CN" w:bidi="ar"/>
              </w:rPr>
              <w:t>2</w:t>
            </w:r>
            <w:r>
              <w:rPr>
                <w:rFonts w:hint="eastAsia" w:ascii="仿宋_GB2312" w:hAnsi="仿宋_GB2312" w:eastAsia="仿宋_GB2312" w:cs="仿宋_GB2312"/>
                <w:kern w:val="0"/>
                <w:sz w:val="20"/>
                <w:szCs w:val="20"/>
                <w:lang w:bidi="ar"/>
              </w:rPr>
              <w:t>8日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bidi="ar"/>
              </w:rPr>
              <w:t>1日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bidi="ar"/>
              </w:rPr>
              <w:t>2日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val="en-US" w:eastAsia="zh-CN" w:bidi="ar"/>
              </w:rPr>
              <w:t>3</w:t>
            </w:r>
            <w:r>
              <w:rPr>
                <w:rFonts w:hint="eastAsia" w:ascii="仿宋_GB2312" w:hAnsi="仿宋_GB2312" w:eastAsia="仿宋_GB2312" w:cs="仿宋_GB2312"/>
                <w:kern w:val="0"/>
                <w:sz w:val="20"/>
                <w:szCs w:val="20"/>
                <w:lang w:bidi="ar"/>
              </w:rPr>
              <w:t>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val="en-US" w:eastAsia="zh-CN" w:bidi="ar"/>
              </w:rPr>
              <w:t>4</w:t>
            </w:r>
            <w:r>
              <w:rPr>
                <w:rFonts w:hint="eastAsia" w:ascii="仿宋_GB2312" w:hAnsi="仿宋_GB2312" w:eastAsia="仿宋_GB2312" w:cs="仿宋_GB2312"/>
                <w:kern w:val="0"/>
                <w:sz w:val="20"/>
                <w:szCs w:val="20"/>
                <w:lang w:bidi="ar"/>
              </w:rPr>
              <w:t>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val="en-US" w:eastAsia="zh-CN" w:bidi="ar"/>
              </w:rPr>
              <w:t>5</w:t>
            </w:r>
            <w:r>
              <w:rPr>
                <w:rFonts w:hint="eastAsia" w:ascii="仿宋_GB2312" w:hAnsi="仿宋_GB2312" w:eastAsia="仿宋_GB2312" w:cs="仿宋_GB2312"/>
                <w:kern w:val="0"/>
                <w:sz w:val="20"/>
                <w:szCs w:val="20"/>
                <w:lang w:bidi="ar"/>
              </w:rPr>
              <w:t>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val="en-US" w:eastAsia="zh-CN" w:bidi="ar"/>
              </w:rPr>
              <w:t>6</w:t>
            </w:r>
            <w:r>
              <w:rPr>
                <w:rFonts w:hint="eastAsia" w:ascii="仿宋_GB2312" w:hAnsi="仿宋_GB2312" w:eastAsia="仿宋_GB2312" w:cs="仿宋_GB2312"/>
                <w:kern w:val="0"/>
                <w:sz w:val="20"/>
                <w:szCs w:val="20"/>
                <w:lang w:bidi="ar"/>
              </w:rPr>
              <w:t>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val="en-US" w:eastAsia="zh-CN" w:bidi="ar"/>
              </w:rPr>
              <w:t>7</w:t>
            </w:r>
            <w:r>
              <w:rPr>
                <w:rFonts w:hint="eastAsia" w:ascii="仿宋_GB2312" w:hAnsi="仿宋_GB2312" w:eastAsia="仿宋_GB2312" w:cs="仿宋_GB2312"/>
                <w:kern w:val="0"/>
                <w:sz w:val="20"/>
                <w:szCs w:val="20"/>
                <w:lang w:bidi="ar"/>
              </w:rPr>
              <w:t>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val="en-US" w:eastAsia="zh-CN" w:bidi="ar"/>
              </w:rPr>
              <w:t>8</w:t>
            </w:r>
            <w:r>
              <w:rPr>
                <w:rFonts w:hint="eastAsia" w:ascii="仿宋_GB2312" w:hAnsi="仿宋_GB2312" w:eastAsia="仿宋_GB2312" w:cs="仿宋_GB2312"/>
                <w:kern w:val="0"/>
                <w:sz w:val="20"/>
                <w:szCs w:val="20"/>
                <w:lang w:bidi="ar"/>
              </w:rPr>
              <w:t>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val="en-US" w:eastAsia="zh-CN" w:bidi="ar"/>
              </w:rPr>
              <w:t>9</w:t>
            </w:r>
            <w:r>
              <w:rPr>
                <w:rFonts w:hint="eastAsia" w:ascii="仿宋_GB2312" w:hAnsi="仿宋_GB2312" w:eastAsia="仿宋_GB2312" w:cs="仿宋_GB2312"/>
                <w:kern w:val="0"/>
                <w:sz w:val="20"/>
                <w:szCs w:val="20"/>
                <w:lang w:bidi="ar"/>
              </w:rPr>
              <w:t>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val="en-US" w:eastAsia="zh-CN" w:bidi="ar"/>
              </w:rPr>
              <w:t>10</w:t>
            </w:r>
            <w:r>
              <w:rPr>
                <w:rFonts w:hint="eastAsia" w:ascii="仿宋_GB2312" w:hAnsi="仿宋_GB2312" w:eastAsia="仿宋_GB2312" w:cs="仿宋_GB2312"/>
                <w:kern w:val="0"/>
                <w:sz w:val="20"/>
                <w:szCs w:val="20"/>
                <w:lang w:bidi="ar"/>
              </w:rPr>
              <w:t>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val="en-US" w:eastAsia="zh-CN" w:bidi="ar"/>
              </w:rPr>
              <w:t>11</w:t>
            </w:r>
            <w:r>
              <w:rPr>
                <w:rFonts w:hint="eastAsia" w:ascii="仿宋_GB2312" w:hAnsi="仿宋_GB2312" w:eastAsia="仿宋_GB2312" w:cs="仿宋_GB2312"/>
                <w:kern w:val="0"/>
                <w:sz w:val="20"/>
                <w:szCs w:val="20"/>
                <w:lang w:bidi="ar"/>
              </w:rPr>
              <w:t>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r>
        <w:tblPrEx>
          <w:tblCellMar>
            <w:top w:w="15" w:type="dxa"/>
            <w:left w:w="15" w:type="dxa"/>
            <w:bottom w:w="15" w:type="dxa"/>
            <w:right w:w="15" w:type="dxa"/>
          </w:tblCellMar>
        </w:tblPrEx>
        <w:trPr>
          <w:trHeight w:val="624" w:hRule="atLeast"/>
          <w:jc w:val="center"/>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eastAsia="zh-CN" w:bidi="ar"/>
              </w:rPr>
              <w:t>3月</w:t>
            </w:r>
            <w:r>
              <w:rPr>
                <w:rFonts w:hint="eastAsia" w:ascii="仿宋_GB2312" w:hAnsi="仿宋_GB2312" w:eastAsia="仿宋_GB2312" w:cs="仿宋_GB2312"/>
                <w:kern w:val="0"/>
                <w:sz w:val="20"/>
                <w:szCs w:val="20"/>
                <w:lang w:val="en-US" w:eastAsia="zh-CN" w:bidi="ar"/>
              </w:rPr>
              <w:t>12</w:t>
            </w:r>
            <w:r>
              <w:rPr>
                <w:rFonts w:hint="eastAsia" w:ascii="仿宋_GB2312" w:hAnsi="仿宋_GB2312" w:eastAsia="仿宋_GB2312" w:cs="仿宋_GB2312"/>
                <w:kern w:val="0"/>
                <w:sz w:val="20"/>
                <w:szCs w:val="20"/>
                <w:lang w:bidi="ar"/>
              </w:rPr>
              <w:t>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□正常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□异常；具体情况：</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□是  □否</w:t>
            </w:r>
          </w:p>
        </w:tc>
      </w:tr>
    </w:tbl>
    <w:p>
      <w:pPr>
        <w:pStyle w:val="6"/>
        <w:ind w:left="221" w:leftChars="-232" w:right="-613" w:rightChars="-292" w:hanging="708" w:hangingChars="295"/>
        <w:rPr>
          <w:rFonts w:hint="eastAsia" w:ascii="仿宋_GB2312" w:hAnsi="仿宋_GB2312" w:eastAsia="仿宋_GB2312" w:cs="仿宋_GB2312"/>
        </w:rPr>
      </w:pPr>
      <w:r>
        <w:rPr>
          <w:rFonts w:hint="eastAsia" w:ascii="仿宋_GB2312" w:hAnsi="仿宋_GB2312" w:eastAsia="仿宋_GB2312" w:cs="仿宋_GB2312"/>
          <w:sz w:val="24"/>
        </w:rPr>
        <w:t>注: 1.考生须认真、如实申报，在相应的</w:t>
      </w:r>
      <w:r>
        <w:rPr>
          <w:rFonts w:hint="eastAsia" w:ascii="仿宋_GB2312" w:hAnsi="仿宋_GB2312" w:eastAsia="仿宋_GB2312" w:cs="仿宋_GB2312"/>
          <w:kern w:val="0"/>
          <w:sz w:val="20"/>
          <w:szCs w:val="20"/>
          <w:lang w:bidi="ar"/>
        </w:rPr>
        <w:t>□内打√</w:t>
      </w:r>
      <w:r>
        <w:rPr>
          <w:rFonts w:hint="eastAsia" w:ascii="仿宋_GB2312" w:hAnsi="仿宋_GB2312" w:eastAsia="仿宋_GB2312" w:cs="仿宋_GB2312"/>
          <w:sz w:val="24"/>
        </w:rPr>
        <w:t>。如出现感冒样症状，喘憋、呼吸急促、恶心呕吐、腹泻，心慌、胸闷，结膜炎以及其他异常的须填写信息情况。</w:t>
      </w:r>
    </w:p>
    <w:p>
      <w:pPr>
        <w:adjustRightInd w:val="0"/>
        <w:snapToGrid w:val="0"/>
        <w:spacing w:line="240" w:lineRule="atLeast"/>
        <w:ind w:left="0" w:leftChars="0" w:firstLine="0" w:firstLineChars="0"/>
        <w:jc w:val="left"/>
        <w:rPr>
          <w:rFonts w:hint="eastAsia" w:ascii="仿宋_GB2312" w:hAnsi="仿宋_GB2312" w:eastAsia="仿宋_GB2312" w:cs="仿宋_GB2312"/>
          <w:sz w:val="24"/>
        </w:rPr>
        <w:sectPr>
          <w:pgSz w:w="11907" w:h="16840"/>
          <w:pgMar w:top="851" w:right="1474" w:bottom="851" w:left="1588" w:header="720" w:footer="720" w:gutter="0"/>
          <w:cols w:space="720" w:num="1"/>
          <w:titlePg/>
          <w:docGrid w:linePitch="286" w:charSpace="0"/>
        </w:sectPr>
      </w:pPr>
      <w:r>
        <w:rPr>
          <w:rFonts w:hint="eastAsia" w:ascii="仿宋_GB2312" w:hAnsi="仿宋_GB2312" w:eastAsia="仿宋_GB2312" w:cs="仿宋_GB2312"/>
          <w:sz w:val="24"/>
          <w:szCs w:val="24"/>
        </w:rPr>
        <w:t>2.考生应自行打印、填写本申报表，并在接受检查时向考点工作人员提供。</w:t>
      </w:r>
    </w:p>
    <w:p>
      <w:pPr>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宋体" w:eastAsia="方正小标宋简体" w:cs="宋体"/>
          <w:color w:val="auto"/>
          <w:sz w:val="44"/>
          <w:szCs w:val="44"/>
          <w:lang w:eastAsia="zh-CN"/>
        </w:rPr>
      </w:pPr>
      <w:r>
        <w:rPr>
          <w:rFonts w:hint="eastAsia" w:ascii="方正小标宋简体" w:hAnsi="宋体" w:eastAsia="方正小标宋简体" w:cs="宋体"/>
          <w:color w:val="auto"/>
          <w:sz w:val="44"/>
          <w:szCs w:val="44"/>
          <w:lang w:val="en-US" w:eastAsia="zh-CN"/>
        </w:rPr>
        <w:t>深圳市</w:t>
      </w:r>
      <w:r>
        <w:rPr>
          <w:rFonts w:hint="eastAsia" w:ascii="方正小标宋简体" w:hAnsi="宋体" w:eastAsia="方正小标宋简体" w:cs="宋体"/>
          <w:color w:val="auto"/>
          <w:sz w:val="44"/>
          <w:szCs w:val="44"/>
        </w:rPr>
        <w:t>中小学教师资格考试</w:t>
      </w:r>
      <w:r>
        <w:rPr>
          <w:rFonts w:hint="eastAsia" w:ascii="方正小标宋简体" w:hAnsi="宋体" w:eastAsia="方正小标宋简体" w:cs="宋体"/>
          <w:color w:val="auto"/>
          <w:sz w:val="44"/>
          <w:szCs w:val="44"/>
          <w:lang w:eastAsia="zh-CN"/>
        </w:rPr>
        <w:t>（</w:t>
      </w:r>
      <w:r>
        <w:rPr>
          <w:rFonts w:hint="eastAsia" w:ascii="方正小标宋简体" w:hAnsi="宋体" w:eastAsia="方正小标宋简体" w:cs="宋体"/>
          <w:color w:val="auto"/>
          <w:sz w:val="44"/>
          <w:szCs w:val="44"/>
        </w:rPr>
        <w:t>笔试</w:t>
      </w:r>
      <w:r>
        <w:rPr>
          <w:rFonts w:hint="eastAsia" w:ascii="方正小标宋简体" w:hAnsi="宋体" w:eastAsia="方正小标宋简体" w:cs="宋体"/>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宋体" w:eastAsia="方正小标宋简体" w:cs="宋体"/>
          <w:color w:val="auto"/>
          <w:sz w:val="44"/>
          <w:szCs w:val="44"/>
          <w:lang w:eastAsia="zh-CN"/>
        </w:rPr>
      </w:pPr>
      <w:r>
        <w:rPr>
          <w:rFonts w:hint="eastAsia" w:ascii="方正小标宋简体" w:hAnsi="宋体" w:eastAsia="方正小标宋简体" w:cs="宋体"/>
          <w:color w:val="auto"/>
          <w:sz w:val="44"/>
          <w:szCs w:val="44"/>
          <w:lang w:val="en-US" w:eastAsia="zh-CN"/>
        </w:rPr>
        <w:t>各考区咨询电话</w:t>
      </w:r>
    </w:p>
    <w:tbl>
      <w:tblPr>
        <w:tblStyle w:val="4"/>
        <w:tblW w:w="0" w:type="auto"/>
        <w:jc w:val="center"/>
        <w:tblLayout w:type="fixed"/>
        <w:tblCellMar>
          <w:top w:w="0" w:type="dxa"/>
          <w:left w:w="108" w:type="dxa"/>
          <w:bottom w:w="0" w:type="dxa"/>
          <w:right w:w="108" w:type="dxa"/>
        </w:tblCellMar>
      </w:tblPr>
      <w:tblGrid>
        <w:gridCol w:w="4710"/>
        <w:gridCol w:w="4002"/>
      </w:tblGrid>
      <w:tr>
        <w:tblPrEx>
          <w:tblCellMar>
            <w:top w:w="0" w:type="dxa"/>
            <w:left w:w="108" w:type="dxa"/>
            <w:bottom w:w="0" w:type="dxa"/>
            <w:right w:w="108" w:type="dxa"/>
          </w:tblCellMar>
        </w:tblPrEx>
        <w:trPr>
          <w:trHeight w:val="680" w:hRule="atLeast"/>
          <w:jc w:val="center"/>
        </w:trPr>
        <w:tc>
          <w:tcPr>
            <w:tcW w:w="47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单位名称</w:t>
            </w:r>
          </w:p>
        </w:tc>
        <w:tc>
          <w:tcPr>
            <w:tcW w:w="4002"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咨询电话</w:t>
            </w:r>
          </w:p>
        </w:tc>
      </w:tr>
      <w:tr>
        <w:tblPrEx>
          <w:tblCellMar>
            <w:top w:w="0" w:type="dxa"/>
            <w:left w:w="108" w:type="dxa"/>
            <w:bottom w:w="0" w:type="dxa"/>
            <w:right w:w="108" w:type="dxa"/>
          </w:tblCellMar>
        </w:tblPrEx>
        <w:trPr>
          <w:trHeight w:val="680" w:hRule="atLeast"/>
          <w:jc w:val="center"/>
        </w:trPr>
        <w:tc>
          <w:tcPr>
            <w:tcW w:w="471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深圳市招生考试办公室</w:t>
            </w:r>
          </w:p>
        </w:tc>
        <w:tc>
          <w:tcPr>
            <w:tcW w:w="400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82181999</w:t>
            </w:r>
          </w:p>
        </w:tc>
      </w:tr>
      <w:tr>
        <w:tblPrEx>
          <w:tblCellMar>
            <w:top w:w="0" w:type="dxa"/>
            <w:left w:w="108" w:type="dxa"/>
            <w:bottom w:w="0" w:type="dxa"/>
            <w:right w:w="108" w:type="dxa"/>
          </w:tblCellMar>
        </w:tblPrEx>
        <w:trPr>
          <w:trHeight w:val="680" w:hRule="atLeast"/>
          <w:jc w:val="center"/>
        </w:trPr>
        <w:tc>
          <w:tcPr>
            <w:tcW w:w="4710"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kern w:val="0"/>
                <w:sz w:val="28"/>
                <w:szCs w:val="28"/>
              </w:rPr>
              <w:t>福田区教育局</w:t>
            </w:r>
          </w:p>
        </w:tc>
        <w:tc>
          <w:tcPr>
            <w:tcW w:w="4002"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82918332</w:t>
            </w:r>
          </w:p>
        </w:tc>
      </w:tr>
      <w:tr>
        <w:tblPrEx>
          <w:tblCellMar>
            <w:top w:w="0" w:type="dxa"/>
            <w:left w:w="108" w:type="dxa"/>
            <w:bottom w:w="0" w:type="dxa"/>
            <w:right w:w="108" w:type="dxa"/>
          </w:tblCellMar>
        </w:tblPrEx>
        <w:trPr>
          <w:trHeight w:val="680" w:hRule="atLeast"/>
          <w:jc w:val="center"/>
        </w:trPr>
        <w:tc>
          <w:tcPr>
            <w:tcW w:w="4710"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kern w:val="0"/>
                <w:sz w:val="28"/>
                <w:szCs w:val="28"/>
              </w:rPr>
              <w:t>罗湖区教育局</w:t>
            </w:r>
          </w:p>
        </w:tc>
        <w:tc>
          <w:tcPr>
            <w:tcW w:w="4002"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22185762</w:t>
            </w:r>
          </w:p>
        </w:tc>
      </w:tr>
      <w:tr>
        <w:tblPrEx>
          <w:tblCellMar>
            <w:top w:w="0" w:type="dxa"/>
            <w:left w:w="108" w:type="dxa"/>
            <w:bottom w:w="0" w:type="dxa"/>
            <w:right w:w="108" w:type="dxa"/>
          </w:tblCellMar>
        </w:tblPrEx>
        <w:trPr>
          <w:trHeight w:val="680" w:hRule="atLeast"/>
          <w:jc w:val="center"/>
        </w:trPr>
        <w:tc>
          <w:tcPr>
            <w:tcW w:w="4710"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kern w:val="0"/>
                <w:sz w:val="28"/>
                <w:szCs w:val="28"/>
                <w:lang w:val="en-US" w:eastAsia="zh-CN"/>
              </w:rPr>
              <w:t>盐田区教育局</w:t>
            </w:r>
          </w:p>
        </w:tc>
        <w:tc>
          <w:tcPr>
            <w:tcW w:w="4002"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25228531</w:t>
            </w:r>
          </w:p>
        </w:tc>
      </w:tr>
      <w:tr>
        <w:tblPrEx>
          <w:tblCellMar>
            <w:top w:w="0" w:type="dxa"/>
            <w:left w:w="108" w:type="dxa"/>
            <w:bottom w:w="0" w:type="dxa"/>
            <w:right w:w="108" w:type="dxa"/>
          </w:tblCellMar>
        </w:tblPrEx>
        <w:trPr>
          <w:trHeight w:val="680" w:hRule="atLeast"/>
          <w:jc w:val="center"/>
        </w:trPr>
        <w:tc>
          <w:tcPr>
            <w:tcW w:w="4710"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kern w:val="0"/>
                <w:sz w:val="28"/>
                <w:szCs w:val="28"/>
              </w:rPr>
              <w:t>南山区教育局</w:t>
            </w:r>
          </w:p>
        </w:tc>
        <w:tc>
          <w:tcPr>
            <w:tcW w:w="4002"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26486245</w:t>
            </w:r>
          </w:p>
        </w:tc>
      </w:tr>
      <w:tr>
        <w:tblPrEx>
          <w:tblCellMar>
            <w:top w:w="0" w:type="dxa"/>
            <w:left w:w="108" w:type="dxa"/>
            <w:bottom w:w="0" w:type="dxa"/>
            <w:right w:w="108" w:type="dxa"/>
          </w:tblCellMar>
        </w:tblPrEx>
        <w:trPr>
          <w:trHeight w:val="680" w:hRule="atLeast"/>
          <w:jc w:val="center"/>
        </w:trPr>
        <w:tc>
          <w:tcPr>
            <w:tcW w:w="4710"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宝安区教育局</w:t>
            </w:r>
          </w:p>
        </w:tc>
        <w:tc>
          <w:tcPr>
            <w:tcW w:w="4002"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27750519</w:t>
            </w:r>
          </w:p>
        </w:tc>
      </w:tr>
      <w:tr>
        <w:tblPrEx>
          <w:tblCellMar>
            <w:top w:w="0" w:type="dxa"/>
            <w:left w:w="108" w:type="dxa"/>
            <w:bottom w:w="0" w:type="dxa"/>
            <w:right w:w="108" w:type="dxa"/>
          </w:tblCellMar>
        </w:tblPrEx>
        <w:trPr>
          <w:trHeight w:val="680" w:hRule="atLeast"/>
          <w:jc w:val="center"/>
        </w:trPr>
        <w:tc>
          <w:tcPr>
            <w:tcW w:w="4710"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龙岗区教育局</w:t>
            </w:r>
          </w:p>
        </w:tc>
        <w:tc>
          <w:tcPr>
            <w:tcW w:w="4002"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89551925</w:t>
            </w:r>
          </w:p>
        </w:tc>
      </w:tr>
      <w:tr>
        <w:tblPrEx>
          <w:tblCellMar>
            <w:top w:w="0" w:type="dxa"/>
            <w:left w:w="108" w:type="dxa"/>
            <w:bottom w:w="0" w:type="dxa"/>
            <w:right w:w="108" w:type="dxa"/>
          </w:tblCellMar>
        </w:tblPrEx>
        <w:trPr>
          <w:trHeight w:val="680" w:hRule="atLeast"/>
          <w:jc w:val="center"/>
        </w:trPr>
        <w:tc>
          <w:tcPr>
            <w:tcW w:w="4710"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龙华区教育局</w:t>
            </w:r>
          </w:p>
        </w:tc>
        <w:tc>
          <w:tcPr>
            <w:tcW w:w="4002"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21014424</w:t>
            </w:r>
          </w:p>
        </w:tc>
      </w:tr>
      <w:tr>
        <w:tblPrEx>
          <w:tblCellMar>
            <w:top w:w="0" w:type="dxa"/>
            <w:left w:w="108" w:type="dxa"/>
            <w:bottom w:w="0" w:type="dxa"/>
            <w:right w:w="108" w:type="dxa"/>
          </w:tblCellMar>
        </w:tblPrEx>
        <w:trPr>
          <w:trHeight w:val="680" w:hRule="atLeast"/>
          <w:jc w:val="center"/>
        </w:trPr>
        <w:tc>
          <w:tcPr>
            <w:tcW w:w="47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kern w:val="0"/>
                <w:sz w:val="28"/>
                <w:szCs w:val="28"/>
                <w:lang w:val="en-US" w:eastAsia="zh-CN"/>
              </w:rPr>
              <w:t>坪山区教育局</w:t>
            </w:r>
          </w:p>
        </w:tc>
        <w:tc>
          <w:tcPr>
            <w:tcW w:w="4002"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84622637</w:t>
            </w:r>
          </w:p>
        </w:tc>
      </w:tr>
      <w:tr>
        <w:tblPrEx>
          <w:tblCellMar>
            <w:top w:w="0" w:type="dxa"/>
            <w:left w:w="108" w:type="dxa"/>
            <w:bottom w:w="0" w:type="dxa"/>
            <w:right w:w="108" w:type="dxa"/>
          </w:tblCellMar>
        </w:tblPrEx>
        <w:trPr>
          <w:trHeight w:val="680" w:hRule="atLeast"/>
          <w:jc w:val="center"/>
        </w:trPr>
        <w:tc>
          <w:tcPr>
            <w:tcW w:w="47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kern w:val="0"/>
                <w:sz w:val="28"/>
                <w:szCs w:val="28"/>
                <w:lang w:val="en-US" w:eastAsia="zh-CN"/>
              </w:rPr>
              <w:t>光明区教育局</w:t>
            </w:r>
          </w:p>
        </w:tc>
        <w:tc>
          <w:tcPr>
            <w:tcW w:w="4002"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88219572</w:t>
            </w:r>
          </w:p>
        </w:tc>
      </w:tr>
      <w:tr>
        <w:tblPrEx>
          <w:tblCellMar>
            <w:top w:w="0" w:type="dxa"/>
            <w:left w:w="108" w:type="dxa"/>
            <w:bottom w:w="0" w:type="dxa"/>
            <w:right w:w="108" w:type="dxa"/>
          </w:tblCellMar>
        </w:tblPrEx>
        <w:trPr>
          <w:trHeight w:val="680" w:hRule="atLeast"/>
          <w:jc w:val="center"/>
        </w:trPr>
        <w:tc>
          <w:tcPr>
            <w:tcW w:w="47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kern w:val="0"/>
                <w:sz w:val="28"/>
                <w:szCs w:val="28"/>
                <w:lang w:val="en-US" w:eastAsia="zh-CN"/>
              </w:rPr>
              <w:t>大鹏新区教育和卫生健康局</w:t>
            </w:r>
          </w:p>
        </w:tc>
        <w:tc>
          <w:tcPr>
            <w:tcW w:w="4002"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rPr>
              <w:t>28333436</w:t>
            </w:r>
          </w:p>
        </w:tc>
      </w:tr>
    </w:tbl>
    <w:p>
      <w:pPr>
        <w:spacing w:line="580" w:lineRule="exact"/>
        <w:rPr>
          <w:rFonts w:hint="eastAsia" w:ascii="仿宋_GB2312" w:eastAsia="仿宋_GB2312"/>
          <w:color w:val="auto"/>
          <w:sz w:val="28"/>
          <w:szCs w:val="28"/>
        </w:rPr>
      </w:pPr>
    </w:p>
    <w:p/>
    <w:sectPr>
      <w:pgSz w:w="11907" w:h="16840"/>
      <w:pgMar w:top="2098" w:right="1474" w:bottom="1928" w:left="1587" w:header="851" w:footer="992" w:gutter="0"/>
      <w:pgBorders>
        <w:top w:val="none" w:sz="0" w:space="0"/>
        <w:left w:val="none" w:sz="0" w:space="0"/>
        <w:bottom w:val="none" w:sz="0" w:space="0"/>
        <w:right w:val="none" w:sz="0" w:space="0"/>
      </w:pgBorders>
      <w:pgNumType w:fmt="decimal"/>
      <w:cols w:space="720" w:num="1"/>
      <w:rtlGutter w:val="0"/>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A24329-0652-42DE-B47E-9FCABE9D2D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85B5DE45-0AAB-4BAE-928C-ABBE2A47218B}"/>
  </w:font>
  <w:font w:name="仿宋_GB2312">
    <w:panose1 w:val="02010609030101010101"/>
    <w:charset w:val="86"/>
    <w:family w:val="auto"/>
    <w:pitch w:val="default"/>
    <w:sig w:usb0="00000001" w:usb1="080E0000" w:usb2="00000000" w:usb3="00000000" w:csb0="00040000" w:csb1="00000000"/>
    <w:embedRegular r:id="rId3" w:fontKey="{5FD5AE53-F3B4-489D-AEF4-1AB09FABC1C3}"/>
  </w:font>
  <w:font w:name="方正小标宋简体">
    <w:panose1 w:val="02000000000000000000"/>
    <w:charset w:val="86"/>
    <w:family w:val="auto"/>
    <w:pitch w:val="default"/>
    <w:sig w:usb0="00000001" w:usb1="08000000" w:usb2="00000000" w:usb3="00000000" w:csb0="00040000" w:csb1="00000000"/>
    <w:embedRegular r:id="rId4" w:fontKey="{97B01B93-C811-488C-BFEA-C8CF97927B1E}"/>
  </w:font>
  <w:font w:name="仿宋">
    <w:panose1 w:val="02010609060101010101"/>
    <w:charset w:val="86"/>
    <w:family w:val="modern"/>
    <w:pitch w:val="default"/>
    <w:sig w:usb0="800002BF" w:usb1="38CF7CFA" w:usb2="00000016" w:usb3="00000000" w:csb0="00040001" w:csb1="00000000"/>
    <w:embedRegular r:id="rId5" w:fontKey="{1F2678E9-2429-4D78-866A-0806FE8B8B6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F6A52"/>
    <w:multiLevelType w:val="multilevel"/>
    <w:tmpl w:val="0F9F6A52"/>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483730B"/>
    <w:multiLevelType w:val="multilevel"/>
    <w:tmpl w:val="2483730B"/>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83E7CC3"/>
    <w:multiLevelType w:val="multilevel"/>
    <w:tmpl w:val="583E7CC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1FB03E7"/>
    <w:multiLevelType w:val="multilevel"/>
    <w:tmpl w:val="71FB03E7"/>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138E3"/>
    <w:rsid w:val="0E123FDD"/>
    <w:rsid w:val="28E13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rFonts w:ascii="宋体" w:hAnsi="宋体"/>
      <w:sz w:val="28"/>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BodyText1I2"/>
    <w:next w:val="1"/>
    <w:qFormat/>
    <w:uiPriority w:val="0"/>
    <w:pPr>
      <w:widowControl w:val="0"/>
      <w:ind w:firstLine="420" w:firstLineChars="200"/>
      <w:jc w:val="both"/>
      <w:textAlignment w:val="baseline"/>
    </w:pPr>
    <w:rPr>
      <w:rFonts w:ascii="Times New Roman" w:hAnsi="Times New Roman" w:eastAsia="宋体" w:cs="Times New Roman"/>
      <w:kern w:val="2"/>
      <w:sz w:val="21"/>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2022-01-10T09:12:00Z</dcterms:created>
  <dc:creator>Mary</dc:creator>
  <cp:lastModifiedBy>Mary</cp:lastModifiedBy>
  <dcterms:modified xsi:type="dcterms:W3CDTF">2022-01-11T01:27:43Z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8580104511E94550BD3DA1D168F95063</vt:lpwstr>
  </property>
</Properties>
</file>