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tabs>
          <w:tab w:val="left" w:pos="2100"/>
        </w:tabs>
        <w:spacing w:line="560" w:lineRule="exact"/>
        <w:jc w:val="center"/>
        <w:rPr>
          <w:rFonts w:hint="default" w:ascii="方正小标宋简体" w:hAnsi="宋体" w:eastAsia="方正小标宋简体"/>
          <w:b/>
          <w:sz w:val="44"/>
          <w:szCs w:val="44"/>
          <w:lang w:val="en-US" w:eastAsia="zh-CN"/>
        </w:rPr>
      </w:pPr>
      <w:r>
        <w:rPr>
          <w:rFonts w:hint="eastAsia" w:ascii="方正小标宋简体" w:hAnsi="宋体" w:eastAsia="方正小标宋简体"/>
          <w:sz w:val="44"/>
          <w:szCs w:val="44"/>
        </w:rPr>
        <w:t>202</w:t>
      </w:r>
      <w:r>
        <w:rPr>
          <w:rFonts w:hint="eastAsia" w:ascii="方正小标宋简体" w:hAnsi="宋体" w:eastAsia="方正小标宋简体"/>
          <w:sz w:val="44"/>
          <w:szCs w:val="44"/>
          <w:lang w:val="en-US" w:eastAsia="zh-CN"/>
        </w:rPr>
        <w:t>2</w:t>
      </w:r>
      <w:r>
        <w:rPr>
          <w:rFonts w:hint="eastAsia" w:ascii="方正小标宋简体" w:hAnsi="宋体" w:eastAsia="方正小标宋简体"/>
          <w:sz w:val="44"/>
          <w:szCs w:val="44"/>
        </w:rPr>
        <w:t>年研究生考试考生人脸识别入场</w:t>
      </w:r>
      <w:r>
        <w:rPr>
          <w:rFonts w:hint="eastAsia" w:ascii="方正小标宋简体" w:hAnsi="宋体" w:eastAsia="方正小标宋简体"/>
          <w:sz w:val="44"/>
          <w:szCs w:val="44"/>
          <w:lang w:val="en-US" w:eastAsia="zh-CN"/>
        </w:rPr>
        <w:t>设备租赁</w:t>
      </w:r>
      <w:r>
        <w:rPr>
          <w:rFonts w:hint="eastAsia" w:ascii="方正小标宋简体" w:hAnsi="宋体" w:eastAsia="方正小标宋简体"/>
          <w:sz w:val="44"/>
          <w:szCs w:val="44"/>
        </w:rPr>
        <w:t>服务项目</w:t>
      </w:r>
      <w:r>
        <w:rPr>
          <w:rFonts w:hint="eastAsia" w:ascii="方正小标宋简体" w:hAnsi="宋体" w:eastAsia="方正小标宋简体"/>
          <w:sz w:val="44"/>
          <w:szCs w:val="44"/>
          <w:lang w:val="en-US" w:eastAsia="zh-CN"/>
        </w:rPr>
        <w:t>招标公告</w:t>
      </w: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24"/>
        </w:rPr>
      </w:pPr>
    </w:p>
    <w:p>
      <w:pPr>
        <w:tabs>
          <w:tab w:val="left" w:pos="3045"/>
        </w:tabs>
        <w:spacing w:line="560" w:lineRule="exact"/>
        <w:jc w:val="center"/>
        <w:rPr>
          <w:rFonts w:ascii="宋体" w:hAnsi="宋体"/>
          <w:b/>
          <w:sz w:val="24"/>
        </w:rPr>
      </w:pPr>
      <w:r>
        <w:rPr>
          <w:rFonts w:hint="eastAsia" w:ascii="宋体" w:hAnsi="宋体"/>
          <w:b/>
          <w:sz w:val="24"/>
        </w:rPr>
        <w:t>深圳市招生考试办公室</w:t>
      </w:r>
    </w:p>
    <w:p>
      <w:pPr>
        <w:tabs>
          <w:tab w:val="left" w:pos="3045"/>
        </w:tabs>
        <w:spacing w:line="560" w:lineRule="exact"/>
        <w:jc w:val="center"/>
        <w:rPr>
          <w:rFonts w:ascii="宋体" w:hAnsi="宋体"/>
          <w:b/>
          <w:sz w:val="24"/>
        </w:rPr>
      </w:pPr>
      <w:r>
        <w:rPr>
          <w:rFonts w:hint="eastAsia" w:ascii="宋体" w:hAnsi="宋体"/>
          <w:b/>
          <w:sz w:val="24"/>
        </w:rPr>
        <w:t>20</w:t>
      </w:r>
      <w:r>
        <w:rPr>
          <w:rFonts w:ascii="宋体" w:hAnsi="宋体"/>
          <w:b/>
          <w:sz w:val="24"/>
        </w:rPr>
        <w:t>21</w:t>
      </w:r>
      <w:r>
        <w:rPr>
          <w:rFonts w:hint="eastAsia" w:ascii="宋体" w:hAnsi="宋体"/>
          <w:b/>
          <w:sz w:val="24"/>
        </w:rPr>
        <w:t>年</w:t>
      </w:r>
      <w:r>
        <w:rPr>
          <w:rFonts w:ascii="宋体" w:hAnsi="宋体"/>
          <w:b/>
          <w:sz w:val="24"/>
        </w:rPr>
        <w:t>12</w:t>
      </w:r>
      <w:r>
        <w:rPr>
          <w:rFonts w:hint="eastAsia" w:ascii="宋体" w:hAnsi="宋体"/>
          <w:b/>
          <w:sz w:val="24"/>
        </w:rPr>
        <w:t>月</w:t>
      </w:r>
    </w:p>
    <w:p>
      <w:pPr>
        <w:tabs>
          <w:tab w:val="left" w:pos="3045"/>
        </w:tabs>
        <w:spacing w:line="560" w:lineRule="exact"/>
        <w:jc w:val="center"/>
        <w:rPr>
          <w:rFonts w:ascii="宋体" w:hAnsi="宋体"/>
          <w:b/>
          <w:sz w:val="24"/>
        </w:rPr>
      </w:pPr>
    </w:p>
    <w:p>
      <w:pPr>
        <w:tabs>
          <w:tab w:val="left" w:pos="3045"/>
        </w:tabs>
        <w:spacing w:line="560" w:lineRule="exact"/>
        <w:jc w:val="center"/>
        <w:rPr>
          <w:rFonts w:ascii="宋体" w:hAnsi="宋体"/>
          <w:b/>
          <w:sz w:val="24"/>
        </w:rPr>
      </w:pPr>
    </w:p>
    <w:p>
      <w:pPr>
        <w:tabs>
          <w:tab w:val="left" w:pos="3045"/>
        </w:tabs>
        <w:spacing w:line="560" w:lineRule="exact"/>
        <w:jc w:val="center"/>
        <w:rPr>
          <w:rFonts w:ascii="宋体" w:hAnsi="宋体"/>
          <w:b/>
          <w:sz w:val="24"/>
        </w:rPr>
      </w:pPr>
    </w:p>
    <w:p>
      <w:pPr>
        <w:spacing w:line="560" w:lineRule="exact"/>
        <w:jc w:val="center"/>
        <w:rPr>
          <w:rFonts w:ascii="宋体" w:hAnsi="宋体"/>
          <w:b/>
          <w:sz w:val="24"/>
        </w:rPr>
      </w:pPr>
    </w:p>
    <w:p>
      <w:pPr>
        <w:spacing w:line="560" w:lineRule="exact"/>
        <w:ind w:firstLine="472" w:firstLineChars="196"/>
        <w:jc w:val="center"/>
        <w:rPr>
          <w:rFonts w:ascii="宋体" w:hAnsi="宋体"/>
          <w:b/>
          <w:sz w:val="24"/>
        </w:rPr>
      </w:pPr>
      <w:r>
        <w:rPr>
          <w:rFonts w:hint="eastAsia" w:ascii="宋体" w:hAnsi="宋体"/>
          <w:b/>
          <w:sz w:val="24"/>
        </w:rPr>
        <w:t>招标公告</w:t>
      </w:r>
    </w:p>
    <w:p>
      <w:pPr>
        <w:spacing w:line="560" w:lineRule="exact"/>
        <w:ind w:firstLine="470" w:firstLineChars="196"/>
        <w:rPr>
          <w:rFonts w:ascii="宋体" w:hAnsi="宋体"/>
          <w:color w:val="000000"/>
          <w:sz w:val="24"/>
        </w:rPr>
      </w:pPr>
      <w:r>
        <w:rPr>
          <w:rFonts w:hint="eastAsia" w:ascii="宋体" w:hAnsi="宋体"/>
          <w:color w:val="000000"/>
          <w:sz w:val="24"/>
        </w:rPr>
        <w:t>根据工作需要，我单位决定就</w:t>
      </w:r>
      <w:r>
        <w:rPr>
          <w:rFonts w:hint="eastAsia" w:ascii="宋体" w:hAnsi="宋体"/>
          <w:sz w:val="24"/>
        </w:rPr>
        <w:t xml:space="preserve"> </w:t>
      </w:r>
      <w:r>
        <w:rPr>
          <w:rFonts w:hint="eastAsia" w:ascii="宋体" w:hAnsi="宋体"/>
          <w:color w:val="000000"/>
          <w:sz w:val="24"/>
        </w:rPr>
        <w:t xml:space="preserve">“2022年研究生考试考生人脸识别入场设备租赁服务项目”工作进行招标，欢迎符合资格的公司参与投标。有关事项说明如下： </w:t>
      </w:r>
    </w:p>
    <w:p>
      <w:pPr>
        <w:spacing w:line="560" w:lineRule="exact"/>
        <w:ind w:firstLine="482" w:firstLineChars="200"/>
        <w:outlineLvl w:val="0"/>
        <w:rPr>
          <w:rFonts w:ascii="宋体" w:hAnsi="宋体"/>
          <w:b/>
          <w:color w:val="000000"/>
          <w:sz w:val="24"/>
        </w:rPr>
      </w:pPr>
      <w:r>
        <w:rPr>
          <w:rFonts w:hint="eastAsia" w:ascii="宋体" w:hAnsi="宋体"/>
          <w:b/>
          <w:color w:val="000000"/>
          <w:sz w:val="24"/>
        </w:rPr>
        <w:t>一、有关情况及服务内容</w:t>
      </w:r>
    </w:p>
    <w:p>
      <w:pPr>
        <w:spacing w:line="560" w:lineRule="exact"/>
        <w:ind w:right="-693" w:rightChars="-330" w:firstLine="340" w:firstLineChars="141"/>
        <w:rPr>
          <w:rFonts w:ascii="宋体" w:hAnsi="宋体"/>
          <w:b/>
          <w:sz w:val="24"/>
        </w:rPr>
      </w:pPr>
      <w:r>
        <w:rPr>
          <w:rFonts w:hint="eastAsia" w:ascii="宋体" w:hAnsi="宋体"/>
          <w:b/>
          <w:sz w:val="24"/>
        </w:rPr>
        <w:t>（一）招标目的</w:t>
      </w:r>
    </w:p>
    <w:p>
      <w:pPr>
        <w:spacing w:line="560" w:lineRule="exact"/>
        <w:ind w:firstLine="470" w:firstLineChars="196"/>
        <w:rPr>
          <w:rFonts w:hint="default" w:ascii="宋体" w:hAnsi="宋体" w:cs="Times New Roman"/>
          <w:color w:val="000000"/>
          <w:sz w:val="24"/>
          <w:lang w:val="en-US" w:eastAsia="zh-CN"/>
        </w:rPr>
      </w:pPr>
      <w:r>
        <w:rPr>
          <w:rFonts w:hint="eastAsia" w:ascii="宋体" w:hAnsi="宋体" w:cs="Times New Roman"/>
          <w:color w:val="000000"/>
          <w:sz w:val="24"/>
          <w:lang w:val="en-US" w:eastAsia="zh-CN"/>
        </w:rPr>
        <w:t>按照有关要求，2022年研究生考试考生入场需采用人脸识别验证考生身份，为确保考试顺利开展，我办拟租赁一批人脸识别设备用于考生入场检查。</w:t>
      </w:r>
    </w:p>
    <w:p>
      <w:pPr>
        <w:spacing w:line="560" w:lineRule="exact"/>
        <w:ind w:right="-693" w:rightChars="-330" w:firstLine="340" w:firstLineChars="141"/>
        <w:rPr>
          <w:rFonts w:hint="eastAsia" w:ascii="宋体" w:hAnsi="宋体" w:cs="Times New Roman"/>
          <w:b/>
          <w:sz w:val="24"/>
        </w:rPr>
      </w:pPr>
      <w:r>
        <w:rPr>
          <w:rFonts w:hint="eastAsia" w:ascii="宋体" w:hAnsi="宋体" w:cs="Times New Roman"/>
          <w:b/>
          <w:sz w:val="24"/>
          <w:lang w:val="en-US" w:eastAsia="zh-CN"/>
        </w:rPr>
        <w:t>（二）</w:t>
      </w:r>
      <w:r>
        <w:rPr>
          <w:rFonts w:hint="eastAsia" w:ascii="宋体" w:hAnsi="宋体" w:cs="Times New Roman"/>
          <w:b/>
          <w:sz w:val="24"/>
        </w:rPr>
        <w:t>项目预算</w:t>
      </w:r>
    </w:p>
    <w:p>
      <w:pPr>
        <w:spacing w:line="560" w:lineRule="exact"/>
        <w:ind w:firstLine="470" w:firstLineChars="196"/>
        <w:rPr>
          <w:rFonts w:hint="eastAsia" w:ascii="宋体" w:hAnsi="宋体" w:cs="Times New Roman"/>
          <w:color w:val="000000"/>
          <w:sz w:val="24"/>
        </w:rPr>
      </w:pPr>
      <w:r>
        <w:rPr>
          <w:rFonts w:hint="eastAsia" w:ascii="宋体" w:hAnsi="宋体" w:cs="Times New Roman"/>
          <w:color w:val="000000"/>
          <w:sz w:val="24"/>
        </w:rPr>
        <w:t>本项目</w:t>
      </w:r>
      <w:r>
        <w:rPr>
          <w:rFonts w:hint="eastAsia" w:ascii="宋体" w:hAnsi="宋体" w:cs="Times New Roman"/>
          <w:color w:val="000000"/>
          <w:sz w:val="24"/>
          <w:lang w:val="en-US" w:eastAsia="zh-CN"/>
        </w:rPr>
        <w:t>共租赁人脸识别设备1500台，预算费用为30万元</w:t>
      </w:r>
      <w:r>
        <w:rPr>
          <w:rFonts w:hint="eastAsia" w:ascii="宋体" w:hAnsi="宋体" w:cs="Times New Roman"/>
          <w:color w:val="000000"/>
          <w:sz w:val="24"/>
        </w:rPr>
        <w:t>。</w:t>
      </w:r>
    </w:p>
    <w:p>
      <w:pPr>
        <w:spacing w:line="560" w:lineRule="exact"/>
        <w:ind w:right="-693" w:rightChars="-330" w:firstLine="340" w:firstLineChars="141"/>
        <w:rPr>
          <w:rFonts w:hint="eastAsia" w:ascii="宋体" w:hAnsi="宋体" w:cs="Times New Roman"/>
          <w:b/>
          <w:sz w:val="24"/>
          <w:lang w:val="en-US" w:eastAsia="zh-CN"/>
        </w:rPr>
      </w:pPr>
      <w:r>
        <w:rPr>
          <w:rFonts w:hint="eastAsia" w:ascii="宋体" w:hAnsi="宋体" w:cs="Times New Roman"/>
          <w:b/>
          <w:sz w:val="24"/>
          <w:lang w:val="en-US" w:eastAsia="zh-CN"/>
        </w:rPr>
        <w:t>（三）投标要求</w:t>
      </w:r>
    </w:p>
    <w:p>
      <w:pPr>
        <w:spacing w:line="560" w:lineRule="exact"/>
        <w:ind w:left="6" w:leftChars="3"/>
        <w:rPr>
          <w:rFonts w:ascii="宋体" w:hAnsi="宋体" w:cs="Arial"/>
          <w:sz w:val="24"/>
        </w:rPr>
      </w:pPr>
      <w:r>
        <w:rPr>
          <w:rFonts w:hint="eastAsia" w:ascii="宋体" w:hAnsi="宋体" w:cs="Arial"/>
          <w:color w:val="000000"/>
          <w:sz w:val="24"/>
        </w:rPr>
        <w:t xml:space="preserve">   </w:t>
      </w:r>
      <w:r>
        <w:rPr>
          <w:rFonts w:hint="eastAsia" w:ascii="宋体" w:hAnsi="宋体" w:cs="Arial"/>
          <w:sz w:val="24"/>
        </w:rPr>
        <w:t xml:space="preserve"> 1、投标人</w:t>
      </w:r>
      <w:r>
        <w:rPr>
          <w:rFonts w:hint="eastAsia" w:ascii="宋体" w:hAnsi="宋体"/>
          <w:sz w:val="24"/>
        </w:rPr>
        <w:t>具有独立法人资格（提供合法有效的证书扫描件，原件备查）</w:t>
      </w:r>
      <w:r>
        <w:rPr>
          <w:rFonts w:hint="eastAsia" w:ascii="宋体" w:hAnsi="宋体" w:cs="Arial"/>
          <w:sz w:val="24"/>
        </w:rPr>
        <w:t>。</w:t>
      </w:r>
    </w:p>
    <w:p>
      <w:pPr>
        <w:pStyle w:val="11"/>
        <w:spacing w:line="560" w:lineRule="exact"/>
        <w:ind w:firstLine="480"/>
        <w:rPr>
          <w:rFonts w:hAnsi="宋体" w:cs="Arial"/>
          <w:sz w:val="24"/>
          <w:szCs w:val="24"/>
        </w:rPr>
      </w:pPr>
      <w:r>
        <w:rPr>
          <w:rFonts w:hint="eastAsia" w:hAnsi="宋体" w:cs="Arial"/>
          <w:sz w:val="24"/>
          <w:szCs w:val="24"/>
        </w:rPr>
        <w:t>2、本项目不接受联合体投标。</w:t>
      </w:r>
    </w:p>
    <w:p>
      <w:pPr>
        <w:pStyle w:val="11"/>
        <w:spacing w:line="560" w:lineRule="exact"/>
        <w:ind w:firstLine="480"/>
        <w:rPr>
          <w:rFonts w:hAnsi="宋体"/>
          <w:sz w:val="24"/>
          <w:lang w:val="en-US"/>
        </w:rPr>
      </w:pPr>
      <w:r>
        <w:rPr>
          <w:rFonts w:hint="eastAsia" w:hAnsi="宋体"/>
          <w:sz w:val="24"/>
        </w:rPr>
        <w:t>3、本次</w:t>
      </w:r>
      <w:r>
        <w:rPr>
          <w:rFonts w:hint="eastAsia" w:hAnsi="宋体"/>
          <w:sz w:val="24"/>
          <w:lang w:val="en-US" w:eastAsia="zh-CN"/>
        </w:rPr>
        <w:t>租赁服务</w:t>
      </w:r>
      <w:r>
        <w:rPr>
          <w:rFonts w:hint="eastAsia" w:hAnsi="宋体"/>
          <w:sz w:val="24"/>
        </w:rPr>
        <w:t>金额报价</w:t>
      </w:r>
      <w:r>
        <w:rPr>
          <w:rFonts w:hint="eastAsia" w:hAnsi="宋体"/>
          <w:b w:val="0"/>
          <w:bCs/>
          <w:sz w:val="24"/>
          <w:lang w:val="en-US" w:eastAsia="zh-CN"/>
        </w:rPr>
        <w:t>不高于30万元人民币</w:t>
      </w:r>
      <w:r>
        <w:rPr>
          <w:rFonts w:hint="eastAsia" w:hAnsi="宋体"/>
          <w:sz w:val="24"/>
        </w:rPr>
        <w:t>，否则视为废标。</w:t>
      </w:r>
    </w:p>
    <w:p>
      <w:pPr>
        <w:spacing w:line="560" w:lineRule="exact"/>
        <w:ind w:right="-693" w:rightChars="-330" w:firstLine="340" w:firstLineChars="141"/>
        <w:rPr>
          <w:rFonts w:hint="eastAsia" w:ascii="宋体" w:hAnsi="宋体" w:cs="Times New Roman"/>
          <w:b/>
          <w:sz w:val="24"/>
          <w:lang w:val="en-US" w:eastAsia="zh-CN"/>
        </w:rPr>
      </w:pPr>
      <w:r>
        <w:rPr>
          <w:rFonts w:hint="eastAsia" w:ascii="宋体" w:hAnsi="宋体" w:cs="Times New Roman"/>
          <w:b/>
          <w:sz w:val="24"/>
          <w:lang w:val="en-US" w:eastAsia="zh-CN"/>
        </w:rPr>
        <w:t>（四）项目背景及服务内容</w:t>
      </w:r>
    </w:p>
    <w:p>
      <w:pPr>
        <w:spacing w:line="560" w:lineRule="exact"/>
        <w:ind w:firstLine="226" w:firstLineChars="94"/>
        <w:rPr>
          <w:rFonts w:ascii="宋体" w:hAnsi="宋体"/>
          <w:sz w:val="24"/>
        </w:rPr>
      </w:pPr>
      <w:r>
        <w:rPr>
          <w:rFonts w:hint="eastAsia" w:ascii="宋体" w:hAnsi="宋体"/>
          <w:b/>
          <w:sz w:val="24"/>
        </w:rPr>
        <w:t xml:space="preserve"> </w:t>
      </w:r>
      <w:r>
        <w:rPr>
          <w:rFonts w:hint="eastAsia" w:ascii="宋体" w:hAnsi="宋体"/>
          <w:sz w:val="24"/>
        </w:rPr>
        <w:t xml:space="preserve"> 见《需求说明书》(见附件)。</w:t>
      </w:r>
    </w:p>
    <w:p>
      <w:pPr>
        <w:spacing w:line="560" w:lineRule="exact"/>
        <w:ind w:firstLine="482" w:firstLineChars="200"/>
        <w:outlineLvl w:val="0"/>
        <w:rPr>
          <w:rFonts w:hint="eastAsia" w:ascii="宋体" w:hAnsi="宋体" w:cs="Times New Roman"/>
          <w:b/>
          <w:color w:val="000000"/>
          <w:sz w:val="24"/>
        </w:rPr>
      </w:pPr>
      <w:r>
        <w:rPr>
          <w:rFonts w:hint="eastAsia" w:ascii="宋体" w:hAnsi="宋体" w:cs="Times New Roman"/>
          <w:b/>
          <w:color w:val="000000"/>
          <w:sz w:val="24"/>
        </w:rPr>
        <w:t>二、投标文件编制有关要求</w:t>
      </w:r>
    </w:p>
    <w:p>
      <w:pPr>
        <w:spacing w:line="360" w:lineRule="auto"/>
        <w:ind w:right="31" w:rightChars="15" w:firstLine="453" w:firstLineChars="189"/>
        <w:rPr>
          <w:rFonts w:ascii="宋体" w:hAnsi="宋体"/>
          <w:sz w:val="24"/>
        </w:rPr>
      </w:pPr>
      <w:r>
        <w:rPr>
          <w:rFonts w:hint="eastAsia" w:ascii="宋体" w:hAnsi="宋体"/>
          <w:sz w:val="24"/>
        </w:rPr>
        <w:t>贵公司如决定参加投标，请按以下要求编制投标文件1式5份，其中正本1份，副本4份（投标文件的正本及所有副本的封面均须加盖投标人法人公章、加盖骑缝法人公章，并</w:t>
      </w:r>
      <w:r>
        <w:rPr>
          <w:rFonts w:hint="eastAsia" w:ascii="宋体" w:hAnsi="宋体"/>
          <w:b/>
          <w:bCs/>
          <w:sz w:val="24"/>
        </w:rPr>
        <w:t>按要求编制好目录及页码等信息</w:t>
      </w:r>
      <w:r>
        <w:rPr>
          <w:rFonts w:hint="eastAsia" w:ascii="宋体" w:hAnsi="宋体"/>
          <w:sz w:val="24"/>
        </w:rPr>
        <w:t>），内容包括但不限于：</w:t>
      </w:r>
    </w:p>
    <w:p>
      <w:pPr>
        <w:spacing w:line="560" w:lineRule="exact"/>
        <w:ind w:firstLine="470" w:firstLineChars="196"/>
        <w:rPr>
          <w:rFonts w:ascii="宋体" w:hAnsi="宋体"/>
          <w:sz w:val="24"/>
        </w:rPr>
      </w:pPr>
      <w:r>
        <w:rPr>
          <w:rFonts w:hint="eastAsia" w:ascii="宋体" w:hAnsi="宋体"/>
          <w:sz w:val="24"/>
        </w:rPr>
        <w:t>（一）贵单位简介，加盖公章的相关证书、资质复印件。</w:t>
      </w:r>
    </w:p>
    <w:p>
      <w:pPr>
        <w:spacing w:line="560" w:lineRule="exact"/>
        <w:ind w:firstLine="480" w:firstLineChars="200"/>
        <w:rPr>
          <w:rFonts w:ascii="宋体" w:hAnsi="宋体"/>
          <w:sz w:val="24"/>
        </w:rPr>
      </w:pPr>
      <w:r>
        <w:rPr>
          <w:rFonts w:hint="eastAsia" w:ascii="宋体" w:hAnsi="宋体"/>
          <w:sz w:val="24"/>
        </w:rPr>
        <w:t>（二）本次服务的设计方案。</w:t>
      </w:r>
    </w:p>
    <w:p>
      <w:pPr>
        <w:spacing w:line="560" w:lineRule="exact"/>
        <w:ind w:firstLine="480" w:firstLineChars="200"/>
        <w:rPr>
          <w:rFonts w:ascii="宋体" w:hAnsi="宋体"/>
          <w:sz w:val="24"/>
        </w:rPr>
      </w:pPr>
      <w:r>
        <w:rPr>
          <w:rFonts w:hint="eastAsia" w:ascii="宋体" w:hAnsi="宋体"/>
          <w:sz w:val="24"/>
        </w:rPr>
        <w:t>（三）本次服务报价（以人民币为计量单位）。</w:t>
      </w:r>
    </w:p>
    <w:p>
      <w:pPr>
        <w:spacing w:line="560" w:lineRule="exact"/>
        <w:ind w:firstLine="480" w:firstLineChars="200"/>
        <w:rPr>
          <w:rFonts w:ascii="宋体" w:hAnsi="宋体"/>
          <w:sz w:val="24"/>
        </w:rPr>
      </w:pPr>
      <w:r>
        <w:rPr>
          <w:rFonts w:hint="eastAsia" w:ascii="宋体" w:hAnsi="宋体"/>
          <w:sz w:val="24"/>
        </w:rPr>
        <w:t>（四）诚信承诺书(见附件2)</w:t>
      </w:r>
    </w:p>
    <w:p>
      <w:pPr>
        <w:spacing w:line="560" w:lineRule="exact"/>
        <w:ind w:firstLine="482" w:firstLineChars="200"/>
        <w:outlineLvl w:val="0"/>
        <w:rPr>
          <w:rFonts w:hint="eastAsia" w:ascii="宋体" w:hAnsi="宋体" w:cs="Times New Roman"/>
          <w:b/>
          <w:color w:val="000000"/>
          <w:sz w:val="24"/>
        </w:rPr>
      </w:pPr>
      <w:r>
        <w:rPr>
          <w:rFonts w:hint="eastAsia" w:ascii="宋体" w:hAnsi="宋体" w:cs="Times New Roman"/>
          <w:b/>
          <w:color w:val="000000"/>
          <w:sz w:val="24"/>
        </w:rPr>
        <w:t>三、投标文件的递交</w:t>
      </w:r>
    </w:p>
    <w:p>
      <w:pPr>
        <w:spacing w:line="560" w:lineRule="exact"/>
        <w:ind w:right="-693" w:rightChars="-330" w:firstLine="340" w:firstLineChars="141"/>
        <w:rPr>
          <w:rFonts w:hint="eastAsia" w:ascii="宋体" w:hAnsi="宋体" w:cs="Times New Roman"/>
          <w:b/>
          <w:sz w:val="24"/>
          <w:lang w:val="en-US" w:eastAsia="zh-CN"/>
        </w:rPr>
      </w:pPr>
      <w:bookmarkStart w:id="0" w:name="_Toc494597779"/>
      <w:bookmarkStart w:id="1" w:name="_Toc506611813"/>
      <w:bookmarkStart w:id="2" w:name="_Toc484848556"/>
      <w:bookmarkStart w:id="3" w:name="_Toc506611605"/>
      <w:bookmarkStart w:id="4" w:name="_Toc506628556"/>
      <w:bookmarkStart w:id="5" w:name="_Toc490832204"/>
      <w:bookmarkStart w:id="6" w:name="_Toc517502636"/>
      <w:bookmarkStart w:id="7" w:name="_Toc484827211"/>
      <w:bookmarkStart w:id="8" w:name="_Toc494875414"/>
      <w:r>
        <w:rPr>
          <w:rFonts w:hint="eastAsia" w:ascii="宋体" w:hAnsi="宋体" w:cs="Times New Roman"/>
          <w:b/>
          <w:sz w:val="24"/>
          <w:lang w:val="en-US" w:eastAsia="zh-CN"/>
        </w:rPr>
        <w:t>（一）投标文件的密封和标记</w:t>
      </w:r>
    </w:p>
    <w:p>
      <w:pPr>
        <w:spacing w:line="560" w:lineRule="exact"/>
        <w:ind w:firstLine="470" w:firstLineChars="196"/>
        <w:rPr>
          <w:rFonts w:hint="eastAsia" w:ascii="宋体" w:hAnsi="宋体" w:cs="Times New Roman"/>
          <w:color w:val="000000"/>
          <w:sz w:val="24"/>
          <w:lang w:val="en-US" w:eastAsia="zh-CN"/>
        </w:rPr>
      </w:pPr>
      <w:r>
        <w:rPr>
          <w:rFonts w:hint="eastAsia" w:ascii="宋体" w:hAnsi="宋体"/>
          <w:sz w:val="24"/>
        </w:rPr>
        <w:t xml:space="preserve"> </w:t>
      </w:r>
      <w:r>
        <w:rPr>
          <w:rFonts w:hint="eastAsia" w:ascii="宋体" w:hAnsi="宋体" w:cs="Times New Roman"/>
          <w:color w:val="000000"/>
          <w:sz w:val="24"/>
          <w:lang w:val="en-US" w:eastAsia="zh-CN"/>
        </w:rPr>
        <w:t>1、投标人应将投标文件正本及副本分开各用两个封套装好密封，且在封套上标明“正本”“副本”字样。封套的封口处须加盖投标人法人公章。</w:t>
      </w:r>
    </w:p>
    <w:p>
      <w:pPr>
        <w:spacing w:line="560" w:lineRule="exact"/>
        <w:ind w:firstLine="470" w:firstLineChars="196"/>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2、 封套应注明：</w:t>
      </w:r>
    </w:p>
    <w:p>
      <w:pPr>
        <w:spacing w:line="560" w:lineRule="exact"/>
        <w:ind w:firstLine="470" w:firstLineChars="196"/>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“收件人：深圳市招生考试办公室”</w:t>
      </w:r>
    </w:p>
    <w:p>
      <w:pPr>
        <w:spacing w:line="560" w:lineRule="exact"/>
        <w:ind w:firstLine="470" w:firstLineChars="196"/>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“投标文件北京时间 2021年12月14日10：00之前不得启封”的字样。</w:t>
      </w:r>
    </w:p>
    <w:p>
      <w:pPr>
        <w:spacing w:line="560" w:lineRule="exact"/>
        <w:ind w:firstLine="470" w:firstLineChars="196"/>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3、 如果封套未按投标人须知要求密封和加写标记，招标人对误投或过早启封概不负责。</w:t>
      </w:r>
    </w:p>
    <w:p>
      <w:pPr>
        <w:spacing w:line="560" w:lineRule="exact"/>
        <w:ind w:left="-2" w:leftChars="-1" w:firstLine="340" w:firstLineChars="141"/>
        <w:outlineLvl w:val="0"/>
        <w:rPr>
          <w:rFonts w:ascii="宋体" w:hAnsi="宋体"/>
          <w:b/>
          <w:sz w:val="24"/>
        </w:rPr>
      </w:pPr>
      <w:r>
        <w:rPr>
          <w:rFonts w:hint="eastAsia" w:ascii="宋体" w:hAnsi="宋体"/>
          <w:b/>
          <w:sz w:val="24"/>
        </w:rPr>
        <w:t>（二）投标截止时间</w:t>
      </w:r>
    </w:p>
    <w:p>
      <w:pPr>
        <w:spacing w:line="560" w:lineRule="exact"/>
        <w:ind w:firstLine="480" w:firstLineChars="200"/>
        <w:rPr>
          <w:rFonts w:ascii="宋体" w:hAnsi="宋体"/>
          <w:color w:val="auto"/>
          <w:sz w:val="24"/>
        </w:rPr>
      </w:pPr>
      <w:r>
        <w:rPr>
          <w:rFonts w:hint="eastAsia" w:ascii="宋体" w:hAnsi="宋体"/>
          <w:sz w:val="24"/>
        </w:rPr>
        <w:t>1、投标文件递交开始时</w:t>
      </w:r>
      <w:r>
        <w:rPr>
          <w:rFonts w:hint="eastAsia" w:ascii="宋体" w:hAnsi="宋体"/>
          <w:color w:val="auto"/>
          <w:sz w:val="24"/>
        </w:rPr>
        <w:t>间：北京时间</w:t>
      </w:r>
      <w:r>
        <w:rPr>
          <w:rFonts w:hint="eastAsia" w:ascii="宋体" w:hAnsi="宋体"/>
          <w:color w:val="auto"/>
          <w:sz w:val="24"/>
          <w:lang w:val="en-US" w:eastAsia="zh-CN"/>
        </w:rPr>
        <w:t>2021</w:t>
      </w:r>
      <w:r>
        <w:rPr>
          <w:rFonts w:hint="eastAsia" w:ascii="宋体" w:hAnsi="宋体"/>
          <w:color w:val="auto"/>
          <w:sz w:val="24"/>
        </w:rPr>
        <w:t>年</w:t>
      </w:r>
      <w:r>
        <w:rPr>
          <w:rFonts w:hint="eastAsia" w:ascii="宋体" w:hAnsi="宋体"/>
          <w:color w:val="auto"/>
          <w:sz w:val="24"/>
          <w:lang w:val="en-US" w:eastAsia="zh-CN"/>
        </w:rPr>
        <w:t>12</w:t>
      </w:r>
      <w:r>
        <w:rPr>
          <w:rFonts w:hint="eastAsia" w:ascii="宋体" w:hAnsi="宋体"/>
          <w:color w:val="auto"/>
          <w:sz w:val="24"/>
        </w:rPr>
        <w:t>月</w:t>
      </w:r>
      <w:r>
        <w:rPr>
          <w:rFonts w:hint="eastAsia" w:ascii="宋体" w:hAnsi="宋体"/>
          <w:color w:val="auto"/>
          <w:sz w:val="24"/>
          <w:lang w:val="en-US" w:eastAsia="zh-CN"/>
        </w:rPr>
        <w:t>7</w:t>
      </w:r>
      <w:r>
        <w:rPr>
          <w:rFonts w:hint="eastAsia" w:ascii="宋体" w:hAnsi="宋体"/>
          <w:color w:val="auto"/>
          <w:sz w:val="24"/>
        </w:rPr>
        <w:t>日。</w:t>
      </w:r>
    </w:p>
    <w:p>
      <w:pPr>
        <w:spacing w:line="560" w:lineRule="exact"/>
        <w:ind w:firstLine="480" w:firstLineChars="200"/>
        <w:rPr>
          <w:rFonts w:ascii="宋体" w:hAnsi="宋体"/>
          <w:color w:val="auto"/>
          <w:sz w:val="24"/>
        </w:rPr>
      </w:pPr>
      <w:r>
        <w:rPr>
          <w:rFonts w:hint="eastAsia" w:ascii="宋体" w:hAnsi="宋体"/>
          <w:color w:val="auto"/>
          <w:sz w:val="24"/>
        </w:rPr>
        <w:t>2、投标文件递交截止时间：北京时间</w:t>
      </w:r>
      <w:r>
        <w:rPr>
          <w:rFonts w:hint="eastAsia" w:ascii="宋体" w:hAnsi="宋体"/>
          <w:color w:val="auto"/>
          <w:sz w:val="24"/>
          <w:lang w:val="en-US" w:eastAsia="zh-CN"/>
        </w:rPr>
        <w:t>2021</w:t>
      </w:r>
      <w:r>
        <w:rPr>
          <w:rFonts w:hint="eastAsia" w:ascii="宋体" w:hAnsi="宋体"/>
          <w:color w:val="auto"/>
          <w:sz w:val="24"/>
        </w:rPr>
        <w:t>年</w:t>
      </w:r>
      <w:r>
        <w:rPr>
          <w:rFonts w:hint="eastAsia" w:ascii="宋体" w:hAnsi="宋体"/>
          <w:color w:val="auto"/>
          <w:sz w:val="24"/>
          <w:lang w:val="en-US" w:eastAsia="zh-CN"/>
        </w:rPr>
        <w:t>12</w:t>
      </w:r>
      <w:r>
        <w:rPr>
          <w:rFonts w:hint="eastAsia" w:ascii="宋体" w:hAnsi="宋体"/>
          <w:color w:val="auto"/>
          <w:sz w:val="24"/>
        </w:rPr>
        <w:t>月</w:t>
      </w:r>
      <w:r>
        <w:rPr>
          <w:rFonts w:hint="eastAsia" w:ascii="宋体" w:hAnsi="宋体"/>
          <w:color w:val="auto"/>
          <w:sz w:val="24"/>
          <w:lang w:val="en-US" w:eastAsia="zh-CN"/>
        </w:rPr>
        <w:t>14</w:t>
      </w:r>
      <w:r>
        <w:rPr>
          <w:rFonts w:hint="eastAsia" w:ascii="宋体" w:hAnsi="宋体"/>
          <w:color w:val="auto"/>
          <w:sz w:val="24"/>
        </w:rPr>
        <w:t>日</w:t>
      </w:r>
      <w:r>
        <w:rPr>
          <w:rFonts w:hint="eastAsia" w:ascii="宋体" w:hAnsi="宋体"/>
          <w:color w:val="auto"/>
          <w:sz w:val="24"/>
          <w:lang w:val="en-US" w:eastAsia="zh-CN"/>
        </w:rPr>
        <w:t>9：30</w:t>
      </w:r>
      <w:r>
        <w:rPr>
          <w:rFonts w:hint="eastAsia" w:ascii="宋体" w:hAnsi="宋体"/>
          <w:color w:val="auto"/>
          <w:sz w:val="24"/>
        </w:rPr>
        <w:t>。</w:t>
      </w:r>
    </w:p>
    <w:p>
      <w:pPr>
        <w:spacing w:line="560" w:lineRule="exact"/>
        <w:ind w:firstLine="480" w:firstLineChars="200"/>
        <w:rPr>
          <w:rFonts w:ascii="宋体" w:hAnsi="宋体"/>
          <w:sz w:val="24"/>
        </w:rPr>
      </w:pPr>
      <w:r>
        <w:rPr>
          <w:rFonts w:hint="eastAsia" w:ascii="宋体" w:hAnsi="宋体"/>
          <w:sz w:val="24"/>
        </w:rPr>
        <w:t>3、投标人务必于截止时间前，将有关文件按要求送达深圳市招生考试办公室综合科</w:t>
      </w:r>
      <w:r>
        <w:rPr>
          <w:rFonts w:hint="eastAsia" w:ascii="宋体" w:hAnsi="宋体"/>
          <w:sz w:val="24"/>
          <w:lang w:val="en-US" w:eastAsia="zh-CN"/>
        </w:rPr>
        <w:t>207</w:t>
      </w:r>
      <w:r>
        <w:rPr>
          <w:rFonts w:hint="eastAsia" w:ascii="宋体" w:hAnsi="宋体"/>
          <w:sz w:val="24"/>
        </w:rPr>
        <w:t>室，地址：深圳市罗湖区泥岗西路1068号 。</w:t>
      </w:r>
    </w:p>
    <w:p>
      <w:pPr>
        <w:spacing w:line="560" w:lineRule="exact"/>
        <w:ind w:firstLine="480" w:firstLineChars="200"/>
        <w:rPr>
          <w:rFonts w:ascii="宋体" w:hAnsi="宋体"/>
          <w:sz w:val="24"/>
        </w:rPr>
      </w:pPr>
      <w:r>
        <w:rPr>
          <w:rFonts w:hint="eastAsia" w:ascii="宋体" w:hAnsi="宋体"/>
          <w:sz w:val="24"/>
        </w:rPr>
        <w:t>4、在推迟了投标截止时间的情况下，招标人和投标人受投标截止时间制约的所有权利和义务均应延长至新的投标截止时间。</w:t>
      </w:r>
    </w:p>
    <w:p>
      <w:pPr>
        <w:spacing w:line="560" w:lineRule="exact"/>
        <w:ind w:firstLine="480" w:firstLineChars="200"/>
        <w:rPr>
          <w:rFonts w:ascii="宋体" w:hAnsi="宋体"/>
          <w:sz w:val="24"/>
        </w:rPr>
      </w:pPr>
      <w:r>
        <w:rPr>
          <w:rFonts w:hint="eastAsia" w:ascii="宋体" w:hAnsi="宋体"/>
          <w:sz w:val="24"/>
        </w:rPr>
        <w:t>5、招标人将拒绝并原封退回在规定的投标截止时刻后收到的任何投标文件。</w:t>
      </w:r>
    </w:p>
    <w:p>
      <w:pPr>
        <w:spacing w:line="560" w:lineRule="exact"/>
        <w:ind w:firstLine="480" w:firstLineChars="200"/>
        <w:rPr>
          <w:rFonts w:ascii="宋体" w:hAnsi="宋体"/>
          <w:sz w:val="24"/>
        </w:rPr>
      </w:pPr>
      <w:r>
        <w:rPr>
          <w:rFonts w:hint="eastAsia" w:ascii="宋体" w:hAnsi="宋体"/>
          <w:sz w:val="24"/>
        </w:rPr>
        <w:t>6、截至开标时，如不够三家投标人产生流标，本次招标将重新招标。</w:t>
      </w:r>
    </w:p>
    <w:p>
      <w:pPr>
        <w:spacing w:line="560" w:lineRule="exact"/>
        <w:ind w:firstLine="480" w:firstLineChars="200"/>
        <w:rPr>
          <w:rFonts w:ascii="宋体" w:hAnsi="宋体"/>
          <w:sz w:val="24"/>
        </w:rPr>
      </w:pPr>
      <w:r>
        <w:rPr>
          <w:rFonts w:hint="eastAsia" w:ascii="宋体" w:hAnsi="宋体"/>
          <w:sz w:val="24"/>
        </w:rPr>
        <w:t>7、若出现2次流标，可采取竞争性谈判或单一来源的方式采购。</w:t>
      </w:r>
    </w:p>
    <w:p>
      <w:pPr>
        <w:spacing w:line="560" w:lineRule="exact"/>
        <w:ind w:left="-2" w:leftChars="-1" w:firstLine="340" w:firstLineChars="141"/>
        <w:outlineLvl w:val="0"/>
        <w:rPr>
          <w:rFonts w:ascii="宋体" w:hAnsi="宋体"/>
          <w:b/>
          <w:sz w:val="24"/>
        </w:rPr>
      </w:pPr>
      <w:r>
        <w:rPr>
          <w:rFonts w:hint="eastAsia" w:ascii="宋体" w:hAnsi="宋体"/>
          <w:b/>
          <w:sz w:val="24"/>
        </w:rPr>
        <w:t>（三）投标人在递交投标文件后，投标人不得对其投标文件做任何修改，亦不得撤回其投标文件。</w:t>
      </w:r>
    </w:p>
    <w:p>
      <w:pPr>
        <w:spacing w:line="560" w:lineRule="exact"/>
        <w:ind w:left="1" w:firstLine="453" w:firstLineChars="188"/>
        <w:outlineLvl w:val="0"/>
        <w:rPr>
          <w:rFonts w:ascii="宋体" w:hAnsi="宋体"/>
          <w:b/>
          <w:sz w:val="24"/>
        </w:rPr>
      </w:pPr>
      <w:r>
        <w:rPr>
          <w:rFonts w:hint="eastAsia" w:ascii="宋体" w:hAnsi="宋体"/>
          <w:b/>
          <w:sz w:val="24"/>
        </w:rPr>
        <w:t>四、开标与评标</w:t>
      </w:r>
    </w:p>
    <w:p>
      <w:pPr>
        <w:spacing w:line="560" w:lineRule="exact"/>
        <w:ind w:left="1" w:firstLine="340" w:firstLineChars="141"/>
        <w:outlineLvl w:val="0"/>
        <w:rPr>
          <w:rFonts w:ascii="宋体" w:hAnsi="宋体"/>
          <w:b/>
          <w:sz w:val="24"/>
        </w:rPr>
      </w:pPr>
      <w:r>
        <w:rPr>
          <w:rFonts w:hint="eastAsia" w:ascii="宋体" w:hAnsi="宋体"/>
          <w:b/>
          <w:sz w:val="24"/>
        </w:rPr>
        <w:t>（一）开标</w:t>
      </w:r>
    </w:p>
    <w:p>
      <w:pPr>
        <w:spacing w:line="560" w:lineRule="exact"/>
        <w:ind w:firstLine="480" w:firstLineChars="200"/>
        <w:rPr>
          <w:rFonts w:ascii="宋体" w:hAnsi="宋体"/>
          <w:sz w:val="24"/>
        </w:rPr>
      </w:pPr>
      <w:r>
        <w:rPr>
          <w:rFonts w:hint="eastAsia" w:ascii="宋体" w:hAnsi="宋体"/>
          <w:sz w:val="24"/>
        </w:rPr>
        <w:t>1、开标时间：开标时间：</w:t>
      </w:r>
      <w:r>
        <w:rPr>
          <w:rFonts w:hint="eastAsia" w:ascii="宋体" w:hAnsi="宋体"/>
          <w:b w:val="0"/>
          <w:bCs w:val="0"/>
          <w:sz w:val="24"/>
        </w:rPr>
        <w:t>北京时间 20</w:t>
      </w:r>
      <w:r>
        <w:rPr>
          <w:rFonts w:ascii="宋体" w:hAnsi="宋体"/>
          <w:b w:val="0"/>
          <w:bCs w:val="0"/>
          <w:sz w:val="24"/>
        </w:rPr>
        <w:t>2</w:t>
      </w:r>
      <w:r>
        <w:rPr>
          <w:rFonts w:hint="eastAsia" w:ascii="宋体" w:hAnsi="宋体"/>
          <w:b w:val="0"/>
          <w:bCs w:val="0"/>
          <w:sz w:val="24"/>
          <w:lang w:val="en-US" w:eastAsia="zh-CN"/>
        </w:rPr>
        <w:t>1</w:t>
      </w:r>
      <w:r>
        <w:rPr>
          <w:rFonts w:hint="eastAsia" w:ascii="宋体" w:hAnsi="宋体"/>
          <w:b w:val="0"/>
          <w:bCs w:val="0"/>
          <w:sz w:val="24"/>
        </w:rPr>
        <w:t>年</w:t>
      </w:r>
      <w:r>
        <w:rPr>
          <w:rFonts w:ascii="宋体" w:hAnsi="宋体"/>
          <w:b w:val="0"/>
          <w:bCs w:val="0"/>
          <w:sz w:val="24"/>
        </w:rPr>
        <w:t>1</w:t>
      </w:r>
      <w:r>
        <w:rPr>
          <w:rFonts w:hint="eastAsia" w:ascii="宋体" w:hAnsi="宋体"/>
          <w:b w:val="0"/>
          <w:bCs w:val="0"/>
          <w:sz w:val="24"/>
          <w:lang w:val="en-US" w:eastAsia="zh-CN"/>
        </w:rPr>
        <w:t>2</w:t>
      </w:r>
      <w:r>
        <w:rPr>
          <w:rFonts w:hint="eastAsia" w:ascii="宋体" w:hAnsi="宋体"/>
          <w:b w:val="0"/>
          <w:bCs w:val="0"/>
          <w:sz w:val="24"/>
        </w:rPr>
        <w:t>月</w:t>
      </w:r>
      <w:r>
        <w:rPr>
          <w:rFonts w:hint="eastAsia" w:ascii="宋体" w:hAnsi="宋体"/>
          <w:b w:val="0"/>
          <w:bCs w:val="0"/>
          <w:sz w:val="24"/>
          <w:lang w:val="en-US" w:eastAsia="zh-CN"/>
        </w:rPr>
        <w:t>14</w:t>
      </w:r>
      <w:r>
        <w:rPr>
          <w:rFonts w:hint="eastAsia" w:ascii="宋体" w:hAnsi="宋体"/>
          <w:b w:val="0"/>
          <w:bCs w:val="0"/>
          <w:sz w:val="24"/>
        </w:rPr>
        <w:t>日</w:t>
      </w:r>
      <w:r>
        <w:rPr>
          <w:rFonts w:hint="eastAsia" w:ascii="宋体" w:hAnsi="宋体"/>
          <w:b w:val="0"/>
          <w:bCs w:val="0"/>
          <w:sz w:val="24"/>
          <w:lang w:val="en-US" w:eastAsia="zh-CN"/>
        </w:rPr>
        <w:t>10：00</w:t>
      </w:r>
      <w:r>
        <w:rPr>
          <w:rFonts w:hint="eastAsia" w:ascii="宋体" w:hAnsi="宋体"/>
          <w:b/>
          <w:bCs/>
          <w:sz w:val="24"/>
        </w:rPr>
        <w:t>（</w:t>
      </w:r>
      <w:r>
        <w:rPr>
          <w:rFonts w:hint="eastAsia" w:ascii="宋体" w:hAnsi="宋体"/>
          <w:sz w:val="24"/>
        </w:rPr>
        <w:t>如与其它工作安排冲突，则开标时间延后）</w:t>
      </w:r>
      <w:r>
        <w:rPr>
          <w:rFonts w:hint="eastAsia" w:ascii="宋体" w:hAnsi="宋体"/>
          <w:b/>
          <w:bCs/>
          <w:sz w:val="24"/>
        </w:rPr>
        <w:t>。</w:t>
      </w:r>
    </w:p>
    <w:p>
      <w:pPr>
        <w:spacing w:line="560" w:lineRule="exact"/>
        <w:ind w:firstLine="480" w:firstLineChars="200"/>
        <w:rPr>
          <w:rFonts w:ascii="宋体" w:hAnsi="宋体"/>
          <w:sz w:val="24"/>
        </w:rPr>
      </w:pPr>
      <w:r>
        <w:rPr>
          <w:rFonts w:hint="eastAsia" w:ascii="宋体" w:hAnsi="宋体"/>
          <w:sz w:val="24"/>
        </w:rPr>
        <w:t xml:space="preserve">2、开标地点： 深圳市招生考试办公室203室 </w:t>
      </w:r>
    </w:p>
    <w:p>
      <w:pPr>
        <w:spacing w:line="560" w:lineRule="exact"/>
        <w:ind w:left="1" w:firstLine="340" w:firstLineChars="141"/>
        <w:outlineLvl w:val="0"/>
        <w:rPr>
          <w:rFonts w:ascii="宋体" w:hAnsi="宋体"/>
          <w:b/>
          <w:sz w:val="24"/>
        </w:rPr>
      </w:pPr>
      <w:r>
        <w:rPr>
          <w:rFonts w:hint="eastAsia" w:ascii="宋体" w:hAnsi="宋体"/>
          <w:b/>
          <w:sz w:val="24"/>
        </w:rPr>
        <w:t>（二）评标小组</w:t>
      </w:r>
    </w:p>
    <w:p>
      <w:pPr>
        <w:spacing w:line="560" w:lineRule="exact"/>
        <w:ind w:firstLine="480" w:firstLineChars="200"/>
        <w:rPr>
          <w:rFonts w:ascii="宋体" w:hAnsi="宋体"/>
          <w:sz w:val="24"/>
        </w:rPr>
      </w:pPr>
      <w:r>
        <w:rPr>
          <w:rFonts w:hint="eastAsia" w:ascii="宋体" w:hAnsi="宋体"/>
          <w:sz w:val="24"/>
        </w:rPr>
        <w:t>本次招标组建评标小组，评标小组由</w:t>
      </w:r>
      <w:r>
        <w:rPr>
          <w:rFonts w:hint="eastAsia" w:ascii="宋体" w:hAnsi="宋体"/>
          <w:sz w:val="24"/>
          <w:u w:val="single"/>
        </w:rPr>
        <w:t xml:space="preserve"> 5 </w:t>
      </w:r>
      <w:r>
        <w:rPr>
          <w:rFonts w:hint="eastAsia" w:ascii="宋体" w:hAnsi="宋体"/>
          <w:sz w:val="24"/>
        </w:rPr>
        <w:t>人组成。</w:t>
      </w:r>
    </w:p>
    <w:p>
      <w:pPr>
        <w:spacing w:line="560" w:lineRule="exact"/>
        <w:ind w:firstLine="480" w:firstLineChars="200"/>
        <w:rPr>
          <w:rFonts w:ascii="宋体" w:hAnsi="宋体"/>
          <w:sz w:val="24"/>
        </w:rPr>
      </w:pPr>
      <w:r>
        <w:rPr>
          <w:rFonts w:hint="eastAsia" w:ascii="宋体" w:hAnsi="宋体"/>
          <w:sz w:val="24"/>
        </w:rPr>
        <w:t>本次招标组建监督小组，监督小组由</w:t>
      </w:r>
      <w:r>
        <w:rPr>
          <w:rFonts w:hint="eastAsia" w:ascii="宋体" w:hAnsi="宋体"/>
          <w:sz w:val="24"/>
          <w:u w:val="single"/>
        </w:rPr>
        <w:t xml:space="preserve"> 3 </w:t>
      </w:r>
      <w:r>
        <w:rPr>
          <w:rFonts w:hint="eastAsia" w:ascii="宋体" w:hAnsi="宋体"/>
          <w:sz w:val="24"/>
        </w:rPr>
        <w:t>人组成。</w:t>
      </w:r>
    </w:p>
    <w:p>
      <w:pPr>
        <w:spacing w:line="560" w:lineRule="exact"/>
        <w:ind w:left="1" w:firstLine="340" w:firstLineChars="141"/>
        <w:outlineLvl w:val="0"/>
        <w:rPr>
          <w:rFonts w:hint="eastAsia" w:ascii="宋体" w:hAnsi="宋体" w:cs="Times New Roman"/>
          <w:b/>
          <w:sz w:val="24"/>
        </w:rPr>
      </w:pPr>
      <w:r>
        <w:rPr>
          <w:rFonts w:hint="eastAsia" w:ascii="宋体" w:hAnsi="宋体" w:cs="Times New Roman"/>
          <w:b/>
          <w:sz w:val="24"/>
          <w:lang w:eastAsia="zh-CN"/>
        </w:rPr>
        <w:t>（</w:t>
      </w:r>
      <w:r>
        <w:rPr>
          <w:rFonts w:hint="eastAsia" w:ascii="宋体" w:hAnsi="宋体" w:cs="Times New Roman"/>
          <w:b/>
          <w:sz w:val="24"/>
          <w:lang w:val="en-US" w:eastAsia="zh-CN"/>
        </w:rPr>
        <w:t>三</w:t>
      </w:r>
      <w:r>
        <w:rPr>
          <w:rFonts w:hint="eastAsia" w:ascii="宋体" w:hAnsi="宋体" w:cs="Times New Roman"/>
          <w:b/>
          <w:sz w:val="24"/>
          <w:lang w:eastAsia="zh-CN"/>
        </w:rPr>
        <w:t>）</w:t>
      </w:r>
      <w:r>
        <w:rPr>
          <w:rFonts w:hint="eastAsia" w:ascii="宋体" w:hAnsi="宋体" w:cs="Times New Roman"/>
          <w:b/>
          <w:sz w:val="24"/>
        </w:rPr>
        <w:softHyphen/>
      </w:r>
      <w:r>
        <w:rPr>
          <w:rFonts w:hint="eastAsia" w:ascii="宋体" w:hAnsi="宋体" w:cs="Times New Roman"/>
          <w:b/>
          <w:sz w:val="24"/>
        </w:rPr>
        <w:softHyphen/>
      </w:r>
      <w:r>
        <w:rPr>
          <w:rFonts w:hint="eastAsia" w:ascii="宋体" w:hAnsi="宋体" w:cs="Times New Roman"/>
          <w:b/>
          <w:sz w:val="24"/>
        </w:rPr>
        <w:t>评标原则和方法</w:t>
      </w:r>
    </w:p>
    <w:tbl>
      <w:tblPr>
        <w:tblStyle w:val="1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729"/>
        <w:gridCol w:w="1546"/>
        <w:gridCol w:w="731"/>
        <w:gridCol w:w="1267"/>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22" w:type="dxa"/>
            <w:shd w:val="clear" w:color="auto" w:fill="auto"/>
          </w:tcPr>
          <w:p>
            <w:pPr>
              <w:spacing w:line="360" w:lineRule="auto"/>
              <w:rPr>
                <w:rFonts w:ascii="仿宋" w:hAnsi="仿宋" w:eastAsia="仿宋" w:cs="宋体"/>
                <w:sz w:val="24"/>
              </w:rPr>
            </w:pPr>
            <w:r>
              <w:rPr>
                <w:rFonts w:hint="eastAsia" w:ascii="仿宋" w:hAnsi="仿宋" w:eastAsia="仿宋" w:cs="宋体"/>
                <w:sz w:val="24"/>
              </w:rPr>
              <w:t>序  号</w:t>
            </w:r>
          </w:p>
        </w:tc>
        <w:tc>
          <w:tcPr>
            <w:tcW w:w="4273" w:type="dxa"/>
            <w:gridSpan w:val="4"/>
            <w:shd w:val="clear" w:color="auto" w:fill="auto"/>
          </w:tcPr>
          <w:p>
            <w:pPr>
              <w:spacing w:line="360" w:lineRule="auto"/>
              <w:jc w:val="center"/>
              <w:rPr>
                <w:rFonts w:ascii="仿宋" w:hAnsi="仿宋" w:eastAsia="仿宋" w:cs="宋体"/>
                <w:sz w:val="24"/>
              </w:rPr>
            </w:pPr>
            <w:r>
              <w:rPr>
                <w:rFonts w:hint="eastAsia" w:ascii="仿宋" w:hAnsi="仿宋" w:eastAsia="仿宋" w:cs="宋体"/>
                <w:sz w:val="24"/>
              </w:rPr>
              <w:t>评分项</w:t>
            </w:r>
          </w:p>
        </w:tc>
        <w:tc>
          <w:tcPr>
            <w:tcW w:w="3402" w:type="dxa"/>
            <w:shd w:val="clear" w:color="auto" w:fill="auto"/>
          </w:tcPr>
          <w:p>
            <w:pPr>
              <w:spacing w:line="360" w:lineRule="auto"/>
              <w:jc w:val="center"/>
              <w:rPr>
                <w:rFonts w:ascii="仿宋" w:hAnsi="仿宋" w:eastAsia="仿宋" w:cs="宋体"/>
                <w:sz w:val="24"/>
              </w:rPr>
            </w:pPr>
            <w:r>
              <w:rPr>
                <w:rFonts w:hint="eastAsia" w:ascii="仿宋" w:hAnsi="仿宋" w:eastAsia="仿宋" w:cs="宋体"/>
                <w:sz w:val="24"/>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22" w:type="dxa"/>
            <w:shd w:val="clear" w:color="auto" w:fill="auto"/>
          </w:tcPr>
          <w:p>
            <w:pPr>
              <w:spacing w:line="360" w:lineRule="auto"/>
              <w:jc w:val="center"/>
              <w:rPr>
                <w:rFonts w:ascii="仿宋" w:hAnsi="仿宋" w:eastAsia="仿宋" w:cs="宋体"/>
                <w:sz w:val="24"/>
              </w:rPr>
            </w:pPr>
            <w:r>
              <w:rPr>
                <w:rFonts w:hint="eastAsia" w:ascii="仿宋" w:hAnsi="仿宋" w:eastAsia="仿宋" w:cs="宋体"/>
                <w:sz w:val="24"/>
              </w:rPr>
              <w:t>1</w:t>
            </w:r>
          </w:p>
        </w:tc>
        <w:tc>
          <w:tcPr>
            <w:tcW w:w="4273" w:type="dxa"/>
            <w:gridSpan w:val="4"/>
            <w:shd w:val="clear" w:color="auto" w:fill="auto"/>
          </w:tcPr>
          <w:p>
            <w:pPr>
              <w:spacing w:line="360" w:lineRule="auto"/>
              <w:jc w:val="center"/>
              <w:rPr>
                <w:rFonts w:ascii="仿宋" w:hAnsi="仿宋" w:eastAsia="仿宋" w:cs="宋体"/>
                <w:sz w:val="24"/>
              </w:rPr>
            </w:pPr>
            <w:r>
              <w:rPr>
                <w:rFonts w:hint="eastAsia" w:ascii="仿宋" w:hAnsi="仿宋" w:eastAsia="仿宋" w:cs="宋体"/>
                <w:sz w:val="24"/>
              </w:rPr>
              <w:t>价格</w:t>
            </w:r>
          </w:p>
        </w:tc>
        <w:tc>
          <w:tcPr>
            <w:tcW w:w="3402" w:type="dxa"/>
            <w:shd w:val="clear" w:color="auto" w:fill="auto"/>
          </w:tcPr>
          <w:p>
            <w:pPr>
              <w:spacing w:line="360" w:lineRule="auto"/>
              <w:jc w:val="center"/>
              <w:rPr>
                <w:rFonts w:ascii="仿宋" w:hAnsi="仿宋" w:eastAsia="仿宋" w:cs="宋体"/>
                <w:sz w:val="24"/>
              </w:rPr>
            </w:pPr>
            <w:r>
              <w:rPr>
                <w:rFonts w:hint="eastAsia" w:ascii="仿宋" w:hAnsi="仿宋" w:eastAsia="仿宋" w:cs="宋体"/>
                <w:sz w:val="24"/>
                <w:lang w:val="en-US" w:eastAsia="zh-CN"/>
              </w:rPr>
              <w:t>2</w:t>
            </w:r>
            <w:r>
              <w:rPr>
                <w:rFonts w:hint="eastAsia" w:ascii="仿宋" w:hAnsi="仿宋" w:eastAsia="仿宋" w:cs="宋体"/>
                <w:sz w:val="24"/>
              </w:rPr>
              <w:t>0</w:t>
            </w:r>
          </w:p>
          <w:p>
            <w:pPr>
              <w:spacing w:line="360" w:lineRule="auto"/>
              <w:jc w:val="center"/>
              <w:rPr>
                <w:rFonts w:ascii="仿宋" w:hAnsi="仿宋" w:eastAsia="仿宋" w:cs="宋体"/>
                <w:sz w:val="24"/>
              </w:rPr>
            </w:pPr>
            <w:r>
              <w:rPr>
                <w:rFonts w:hint="eastAsia" w:ascii="仿宋" w:hAnsi="仿宋" w:eastAsia="仿宋" w:cs="宋体"/>
                <w:sz w:val="24"/>
              </w:rPr>
              <w:t>价格得分＝［1-（投标价-最低价）/最低价］*20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22" w:type="dxa"/>
            <w:shd w:val="clear" w:color="auto" w:fill="auto"/>
          </w:tcPr>
          <w:p>
            <w:pPr>
              <w:spacing w:line="360" w:lineRule="auto"/>
              <w:jc w:val="center"/>
              <w:rPr>
                <w:rFonts w:ascii="仿宋" w:hAnsi="仿宋" w:eastAsia="仿宋" w:cs="宋体"/>
                <w:sz w:val="24"/>
              </w:rPr>
            </w:pPr>
            <w:r>
              <w:rPr>
                <w:rFonts w:hint="eastAsia" w:ascii="仿宋" w:hAnsi="仿宋" w:eastAsia="仿宋" w:cs="宋体"/>
                <w:sz w:val="24"/>
              </w:rPr>
              <w:t>2</w:t>
            </w:r>
          </w:p>
        </w:tc>
        <w:tc>
          <w:tcPr>
            <w:tcW w:w="4273" w:type="dxa"/>
            <w:gridSpan w:val="4"/>
            <w:shd w:val="clear" w:color="auto" w:fill="auto"/>
          </w:tcPr>
          <w:p>
            <w:pPr>
              <w:spacing w:line="360" w:lineRule="auto"/>
              <w:jc w:val="center"/>
              <w:rPr>
                <w:rFonts w:ascii="仿宋" w:hAnsi="仿宋" w:eastAsia="仿宋" w:cs="宋体"/>
                <w:sz w:val="24"/>
              </w:rPr>
            </w:pPr>
            <w:r>
              <w:rPr>
                <w:rFonts w:hint="eastAsia" w:ascii="仿宋" w:hAnsi="仿宋" w:eastAsia="仿宋" w:cs="宋体"/>
                <w:sz w:val="24"/>
              </w:rPr>
              <w:t>技术部分</w:t>
            </w:r>
          </w:p>
        </w:tc>
        <w:tc>
          <w:tcPr>
            <w:tcW w:w="3402" w:type="dxa"/>
            <w:shd w:val="clear" w:color="auto" w:fill="auto"/>
          </w:tcPr>
          <w:p>
            <w:pPr>
              <w:spacing w:line="360" w:lineRule="auto"/>
              <w:jc w:val="center"/>
              <w:rPr>
                <w:rFonts w:ascii="仿宋" w:hAnsi="仿宋" w:eastAsia="仿宋" w:cs="宋体"/>
                <w:sz w:val="24"/>
              </w:rPr>
            </w:pPr>
            <w:r>
              <w:rPr>
                <w:rFonts w:hint="eastAsia" w:ascii="仿宋" w:hAnsi="仿宋" w:eastAsia="仿宋" w:cs="宋体"/>
                <w:sz w:val="24"/>
                <w:lang w:val="en-US" w:eastAsia="zh-CN"/>
              </w:rPr>
              <w:t>4</w:t>
            </w:r>
            <w:r>
              <w:rPr>
                <w:rFonts w:hint="eastAsia" w:ascii="仿宋" w:hAnsi="仿宋" w:eastAsia="仿宋" w:cs="宋体"/>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222" w:type="dxa"/>
            <w:vMerge w:val="restart"/>
            <w:shd w:val="clear" w:color="auto" w:fill="auto"/>
          </w:tcPr>
          <w:p>
            <w:pPr>
              <w:spacing w:before="240" w:line="360" w:lineRule="auto"/>
              <w:jc w:val="center"/>
              <w:rPr>
                <w:rFonts w:ascii="仿宋" w:hAnsi="仿宋" w:eastAsia="仿宋" w:cs="宋体"/>
                <w:sz w:val="24"/>
              </w:rPr>
            </w:pPr>
          </w:p>
        </w:tc>
        <w:tc>
          <w:tcPr>
            <w:tcW w:w="729" w:type="dxa"/>
            <w:shd w:val="clear" w:color="auto" w:fill="auto"/>
          </w:tcPr>
          <w:p>
            <w:pPr>
              <w:snapToGrid w:val="0"/>
              <w:spacing w:before="240" w:line="360" w:lineRule="auto"/>
              <w:jc w:val="center"/>
              <w:rPr>
                <w:rFonts w:ascii="仿宋" w:hAnsi="仿宋" w:eastAsia="仿宋" w:cs="宋体"/>
                <w:sz w:val="24"/>
              </w:rPr>
            </w:pPr>
            <w:r>
              <w:rPr>
                <w:rFonts w:hint="eastAsia" w:ascii="仿宋" w:hAnsi="仿宋" w:eastAsia="仿宋" w:cs="宋体"/>
                <w:sz w:val="24"/>
              </w:rPr>
              <w:t>序号</w:t>
            </w:r>
          </w:p>
        </w:tc>
        <w:tc>
          <w:tcPr>
            <w:tcW w:w="1546" w:type="dxa"/>
            <w:shd w:val="clear" w:color="auto" w:fill="auto"/>
          </w:tcPr>
          <w:p>
            <w:pPr>
              <w:snapToGrid w:val="0"/>
              <w:spacing w:before="240" w:line="360" w:lineRule="auto"/>
              <w:jc w:val="center"/>
              <w:rPr>
                <w:rFonts w:ascii="仿宋" w:hAnsi="仿宋" w:eastAsia="仿宋" w:cs="宋体"/>
                <w:sz w:val="24"/>
              </w:rPr>
            </w:pPr>
            <w:r>
              <w:rPr>
                <w:rFonts w:hint="eastAsia" w:ascii="仿宋" w:hAnsi="仿宋" w:eastAsia="仿宋" w:cs="宋体"/>
                <w:sz w:val="24"/>
              </w:rPr>
              <w:t>评分因素</w:t>
            </w:r>
          </w:p>
        </w:tc>
        <w:tc>
          <w:tcPr>
            <w:tcW w:w="731" w:type="dxa"/>
            <w:shd w:val="clear" w:color="auto" w:fill="auto"/>
          </w:tcPr>
          <w:p>
            <w:pPr>
              <w:snapToGrid w:val="0"/>
              <w:spacing w:before="240" w:line="360" w:lineRule="auto"/>
              <w:jc w:val="center"/>
              <w:rPr>
                <w:rFonts w:ascii="仿宋" w:hAnsi="仿宋" w:eastAsia="仿宋" w:cs="宋体"/>
                <w:sz w:val="24"/>
              </w:rPr>
            </w:pPr>
            <w:r>
              <w:rPr>
                <w:rFonts w:hint="eastAsia" w:ascii="仿宋" w:hAnsi="仿宋" w:eastAsia="仿宋" w:cs="宋体"/>
                <w:sz w:val="24"/>
              </w:rPr>
              <w:t>权重</w:t>
            </w:r>
          </w:p>
        </w:tc>
        <w:tc>
          <w:tcPr>
            <w:tcW w:w="1267" w:type="dxa"/>
            <w:shd w:val="clear" w:color="auto" w:fill="auto"/>
          </w:tcPr>
          <w:p>
            <w:pPr>
              <w:snapToGrid w:val="0"/>
              <w:spacing w:before="240" w:line="360" w:lineRule="auto"/>
              <w:jc w:val="center"/>
              <w:rPr>
                <w:rFonts w:ascii="仿宋" w:hAnsi="仿宋" w:eastAsia="仿宋" w:cs="宋体"/>
                <w:sz w:val="24"/>
              </w:rPr>
            </w:pPr>
            <w:r>
              <w:rPr>
                <w:rFonts w:hint="eastAsia" w:ascii="仿宋" w:hAnsi="仿宋" w:eastAsia="仿宋" w:cs="宋体"/>
                <w:sz w:val="24"/>
              </w:rPr>
              <w:t>评分方式</w:t>
            </w:r>
          </w:p>
        </w:tc>
        <w:tc>
          <w:tcPr>
            <w:tcW w:w="3402" w:type="dxa"/>
            <w:shd w:val="clear" w:color="auto" w:fill="auto"/>
          </w:tcPr>
          <w:p>
            <w:pPr>
              <w:snapToGrid w:val="0"/>
              <w:spacing w:before="240" w:line="360" w:lineRule="auto"/>
              <w:jc w:val="center"/>
              <w:rPr>
                <w:rFonts w:ascii="仿宋" w:hAnsi="仿宋" w:eastAsia="仿宋" w:cs="宋体"/>
                <w:sz w:val="24"/>
              </w:rPr>
            </w:pPr>
            <w:r>
              <w:rPr>
                <w:rFonts w:hint="eastAsia" w:ascii="仿宋" w:hAnsi="仿宋" w:eastAsia="仿宋" w:cs="宋体"/>
                <w:color w:val="000000"/>
                <w:sz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222" w:type="dxa"/>
            <w:vMerge w:val="continue"/>
            <w:shd w:val="clear" w:color="auto" w:fill="auto"/>
          </w:tcPr>
          <w:p>
            <w:pPr>
              <w:spacing w:line="360" w:lineRule="auto"/>
              <w:jc w:val="center"/>
              <w:rPr>
                <w:rFonts w:ascii="仿宋" w:hAnsi="仿宋" w:eastAsia="仿宋" w:cs="宋体"/>
                <w:sz w:val="24"/>
              </w:rPr>
            </w:pPr>
          </w:p>
        </w:tc>
        <w:tc>
          <w:tcPr>
            <w:tcW w:w="729" w:type="dxa"/>
            <w:shd w:val="clear" w:color="auto" w:fill="auto"/>
          </w:tcPr>
          <w:p>
            <w:pPr>
              <w:snapToGrid w:val="0"/>
              <w:spacing w:line="360" w:lineRule="auto"/>
              <w:rPr>
                <w:rFonts w:ascii="仿宋" w:hAnsi="仿宋" w:eastAsia="仿宋" w:cs="宋体"/>
                <w:sz w:val="24"/>
              </w:rPr>
            </w:pPr>
            <w:r>
              <w:rPr>
                <w:rFonts w:hint="eastAsia" w:ascii="仿宋" w:hAnsi="仿宋" w:eastAsia="仿宋" w:cs="宋体"/>
                <w:sz w:val="24"/>
              </w:rPr>
              <w:t>1</w:t>
            </w:r>
          </w:p>
        </w:tc>
        <w:tc>
          <w:tcPr>
            <w:tcW w:w="1546" w:type="dxa"/>
            <w:shd w:val="clear" w:color="auto" w:fill="auto"/>
          </w:tcPr>
          <w:p>
            <w:pPr>
              <w:snapToGrid w:val="0"/>
              <w:spacing w:line="360" w:lineRule="auto"/>
              <w:rPr>
                <w:rFonts w:ascii="仿宋" w:hAnsi="仿宋" w:eastAsia="仿宋" w:cs="宋体"/>
                <w:sz w:val="24"/>
              </w:rPr>
            </w:pPr>
            <w:r>
              <w:rPr>
                <w:rFonts w:hint="eastAsia" w:ascii="仿宋" w:hAnsi="仿宋" w:eastAsia="仿宋" w:cs="宋体"/>
                <w:sz w:val="24"/>
              </w:rPr>
              <w:t>对项目需求的认识和理解</w:t>
            </w:r>
          </w:p>
        </w:tc>
        <w:tc>
          <w:tcPr>
            <w:tcW w:w="731" w:type="dxa"/>
            <w:shd w:val="clear" w:color="auto" w:fill="auto"/>
          </w:tcPr>
          <w:p>
            <w:pPr>
              <w:snapToGrid w:val="0"/>
              <w:spacing w:line="360" w:lineRule="auto"/>
              <w:jc w:val="center"/>
              <w:rPr>
                <w:rFonts w:hint="eastAsia" w:ascii="仿宋" w:hAnsi="仿宋" w:eastAsia="仿宋" w:cs="宋体"/>
                <w:sz w:val="24"/>
                <w:lang w:eastAsia="zh-CN"/>
              </w:rPr>
            </w:pPr>
            <w:r>
              <w:rPr>
                <w:rFonts w:hint="eastAsia" w:ascii="仿宋" w:hAnsi="仿宋" w:eastAsia="仿宋" w:cs="宋体"/>
                <w:sz w:val="24"/>
                <w:lang w:val="en-US" w:eastAsia="zh-CN"/>
              </w:rPr>
              <w:t>5</w:t>
            </w:r>
          </w:p>
        </w:tc>
        <w:tc>
          <w:tcPr>
            <w:tcW w:w="1267" w:type="dxa"/>
            <w:shd w:val="clear" w:color="auto" w:fill="auto"/>
          </w:tcPr>
          <w:p>
            <w:pPr>
              <w:snapToGrid w:val="0"/>
              <w:spacing w:line="360" w:lineRule="auto"/>
              <w:jc w:val="center"/>
              <w:rPr>
                <w:rFonts w:ascii="仿宋" w:hAnsi="仿宋" w:eastAsia="仿宋" w:cs="宋体"/>
                <w:sz w:val="24"/>
              </w:rPr>
            </w:pPr>
            <w:r>
              <w:rPr>
                <w:rFonts w:hint="eastAsia" w:ascii="仿宋" w:hAnsi="仿宋" w:eastAsia="仿宋" w:cs="宋体"/>
                <w:sz w:val="24"/>
              </w:rPr>
              <w:t>专家打分</w:t>
            </w:r>
          </w:p>
        </w:tc>
        <w:tc>
          <w:tcPr>
            <w:tcW w:w="3402" w:type="dxa"/>
            <w:shd w:val="clear" w:color="auto" w:fill="auto"/>
          </w:tcPr>
          <w:p>
            <w:pPr>
              <w:pStyle w:val="37"/>
              <w:spacing w:line="360" w:lineRule="auto"/>
              <w:rPr>
                <w:rFonts w:ascii="仿宋" w:hAnsi="仿宋" w:eastAsia="仿宋" w:cs="宋体"/>
                <w:sz w:val="24"/>
              </w:rPr>
            </w:pPr>
            <w:r>
              <w:rPr>
                <w:rFonts w:hint="eastAsia" w:ascii="仿宋" w:hAnsi="仿宋" w:eastAsia="仿宋" w:cs="宋体"/>
                <w:sz w:val="24"/>
              </w:rPr>
              <w:t>评标小组对投标人项目需求的认识和理解，进行横向比较，根据投标人提供的技术方案针对性、兼容性及可实施性进行评分:</w:t>
            </w:r>
          </w:p>
          <w:p>
            <w:pPr>
              <w:pStyle w:val="37"/>
              <w:spacing w:line="360" w:lineRule="auto"/>
              <w:rPr>
                <w:rFonts w:ascii="仿宋" w:hAnsi="仿宋" w:eastAsia="仿宋" w:cs="宋体"/>
                <w:sz w:val="24"/>
              </w:rPr>
            </w:pPr>
            <w:r>
              <w:rPr>
                <w:rFonts w:hint="eastAsia" w:ascii="仿宋" w:hAnsi="仿宋" w:eastAsia="仿宋" w:cs="宋体"/>
                <w:sz w:val="24"/>
              </w:rPr>
              <w:t>第一档得2分:基本能够符合招标文件需求，但设计思路内容简单，无针对性;;</w:t>
            </w:r>
          </w:p>
          <w:p>
            <w:pPr>
              <w:pStyle w:val="37"/>
              <w:spacing w:line="360" w:lineRule="auto"/>
              <w:rPr>
                <w:rFonts w:ascii="仿宋" w:hAnsi="仿宋" w:eastAsia="仿宋" w:cs="宋体"/>
                <w:sz w:val="24"/>
              </w:rPr>
            </w:pPr>
            <w:r>
              <w:rPr>
                <w:rFonts w:hint="eastAsia" w:ascii="仿宋" w:hAnsi="仿宋" w:eastAsia="仿宋" w:cs="宋体"/>
                <w:sz w:val="24"/>
              </w:rPr>
              <w:t>第二档得</w:t>
            </w:r>
            <w:r>
              <w:rPr>
                <w:rFonts w:hint="eastAsia" w:ascii="仿宋" w:hAnsi="仿宋" w:eastAsia="仿宋" w:cs="宋体"/>
                <w:sz w:val="24"/>
                <w:lang w:val="en-US" w:eastAsia="zh-CN"/>
              </w:rPr>
              <w:t>3</w:t>
            </w:r>
            <w:r>
              <w:rPr>
                <w:rFonts w:hint="eastAsia" w:ascii="仿宋" w:hAnsi="仿宋" w:eastAsia="仿宋" w:cs="宋体"/>
                <w:sz w:val="24"/>
              </w:rPr>
              <w:t>分:在一档的基础上，设计思路切实可行，能够把握本项目的技术重点、难点和要点;</w:t>
            </w:r>
          </w:p>
          <w:p>
            <w:pPr>
              <w:pStyle w:val="37"/>
              <w:spacing w:line="360" w:lineRule="auto"/>
              <w:rPr>
                <w:rFonts w:ascii="仿宋" w:hAnsi="仿宋" w:eastAsia="仿宋" w:cs="宋体"/>
                <w:sz w:val="24"/>
              </w:rPr>
            </w:pPr>
            <w:r>
              <w:rPr>
                <w:rFonts w:hint="eastAsia" w:ascii="仿宋" w:hAnsi="仿宋" w:eastAsia="仿宋" w:cs="宋体"/>
                <w:sz w:val="24"/>
              </w:rPr>
              <w:t>第三档得</w:t>
            </w:r>
            <w:r>
              <w:rPr>
                <w:rFonts w:hint="eastAsia" w:ascii="仿宋" w:hAnsi="仿宋" w:eastAsia="仿宋" w:cs="宋体"/>
                <w:sz w:val="24"/>
                <w:lang w:val="en-US" w:eastAsia="zh-CN"/>
              </w:rPr>
              <w:t>5</w:t>
            </w:r>
            <w:r>
              <w:rPr>
                <w:rFonts w:hint="eastAsia" w:ascii="仿宋" w:hAnsi="仿宋" w:eastAsia="仿宋" w:cs="宋体"/>
                <w:sz w:val="24"/>
              </w:rPr>
              <w:t>分:在二档基础上，准确理解并完全满足招标文件需求，切实可行，并充分满足该项目建设发展需要。</w:t>
            </w:r>
          </w:p>
          <w:p>
            <w:pPr>
              <w:snapToGrid w:val="0"/>
              <w:spacing w:line="360" w:lineRule="auto"/>
              <w:rPr>
                <w:rFonts w:ascii="仿宋" w:hAnsi="仿宋" w:eastAsia="仿宋" w:cs="宋体"/>
                <w:sz w:val="24"/>
              </w:rPr>
            </w:pPr>
            <w:r>
              <w:rPr>
                <w:rFonts w:hint="eastAsia" w:ascii="仿宋" w:hAnsi="仿宋" w:eastAsia="仿宋" w:cs="宋体"/>
                <w:sz w:val="24"/>
              </w:rPr>
              <w:t>未提供本项响应内容的不得分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222" w:type="dxa"/>
            <w:vMerge w:val="continue"/>
            <w:shd w:val="clear" w:color="auto" w:fill="auto"/>
          </w:tcPr>
          <w:p>
            <w:pPr>
              <w:spacing w:line="360" w:lineRule="auto"/>
              <w:jc w:val="center"/>
              <w:rPr>
                <w:rFonts w:ascii="仿宋" w:hAnsi="仿宋" w:eastAsia="仿宋" w:cs="宋体"/>
                <w:sz w:val="24"/>
              </w:rPr>
            </w:pPr>
          </w:p>
        </w:tc>
        <w:tc>
          <w:tcPr>
            <w:tcW w:w="729" w:type="dxa"/>
            <w:shd w:val="clear" w:color="auto" w:fill="auto"/>
          </w:tcPr>
          <w:p>
            <w:pPr>
              <w:snapToGrid w:val="0"/>
              <w:spacing w:line="360" w:lineRule="auto"/>
              <w:rPr>
                <w:rFonts w:ascii="仿宋" w:hAnsi="仿宋" w:eastAsia="仿宋" w:cs="宋体"/>
                <w:sz w:val="24"/>
              </w:rPr>
            </w:pPr>
            <w:r>
              <w:rPr>
                <w:rFonts w:hint="eastAsia" w:ascii="仿宋" w:hAnsi="仿宋" w:eastAsia="仿宋" w:cs="宋体"/>
                <w:sz w:val="24"/>
              </w:rPr>
              <w:t>2</w:t>
            </w:r>
          </w:p>
        </w:tc>
        <w:tc>
          <w:tcPr>
            <w:tcW w:w="1546" w:type="dxa"/>
            <w:shd w:val="clear" w:color="auto" w:fill="auto"/>
          </w:tcPr>
          <w:p>
            <w:pPr>
              <w:snapToGrid w:val="0"/>
              <w:spacing w:line="360" w:lineRule="auto"/>
              <w:rPr>
                <w:rFonts w:ascii="仿宋" w:hAnsi="仿宋" w:eastAsia="仿宋" w:cs="宋体"/>
                <w:color w:val="000000"/>
                <w:sz w:val="24"/>
              </w:rPr>
            </w:pPr>
            <w:r>
              <w:rPr>
                <w:rFonts w:hint="eastAsia" w:ascii="仿宋" w:hAnsi="仿宋" w:eastAsia="仿宋" w:cs="宋体"/>
                <w:sz w:val="24"/>
              </w:rPr>
              <w:t>项目实施组织</w:t>
            </w:r>
          </w:p>
        </w:tc>
        <w:tc>
          <w:tcPr>
            <w:tcW w:w="731" w:type="dxa"/>
            <w:shd w:val="clear" w:color="auto" w:fill="auto"/>
          </w:tcPr>
          <w:p>
            <w:pPr>
              <w:snapToGrid w:val="0"/>
              <w:spacing w:line="360" w:lineRule="auto"/>
              <w:jc w:val="center"/>
              <w:rPr>
                <w:rFonts w:hint="eastAsia" w:ascii="仿宋" w:hAnsi="仿宋" w:eastAsia="仿宋" w:cs="宋体"/>
                <w:sz w:val="24"/>
                <w:lang w:eastAsia="zh-CN"/>
              </w:rPr>
            </w:pPr>
            <w:r>
              <w:rPr>
                <w:rFonts w:hint="eastAsia" w:ascii="仿宋" w:hAnsi="仿宋" w:eastAsia="仿宋" w:cs="宋体"/>
                <w:sz w:val="24"/>
                <w:lang w:val="en-US" w:eastAsia="zh-CN"/>
              </w:rPr>
              <w:t>5</w:t>
            </w:r>
          </w:p>
        </w:tc>
        <w:tc>
          <w:tcPr>
            <w:tcW w:w="1267" w:type="dxa"/>
            <w:shd w:val="clear" w:color="auto" w:fill="auto"/>
          </w:tcPr>
          <w:p>
            <w:pPr>
              <w:snapToGrid w:val="0"/>
              <w:spacing w:line="360" w:lineRule="auto"/>
              <w:jc w:val="center"/>
              <w:rPr>
                <w:rFonts w:ascii="仿宋" w:hAnsi="仿宋" w:eastAsia="仿宋" w:cs="宋体"/>
                <w:sz w:val="24"/>
              </w:rPr>
            </w:pPr>
            <w:r>
              <w:rPr>
                <w:rFonts w:hint="eastAsia" w:ascii="仿宋" w:hAnsi="仿宋" w:eastAsia="仿宋" w:cs="宋体"/>
                <w:sz w:val="24"/>
              </w:rPr>
              <w:t>专家打分</w:t>
            </w:r>
          </w:p>
        </w:tc>
        <w:tc>
          <w:tcPr>
            <w:tcW w:w="3402" w:type="dxa"/>
            <w:shd w:val="clear" w:color="auto" w:fill="auto"/>
            <w:vAlign w:val="center"/>
          </w:tcPr>
          <w:p>
            <w:pPr>
              <w:pStyle w:val="37"/>
              <w:spacing w:line="360" w:lineRule="auto"/>
              <w:rPr>
                <w:rFonts w:ascii="仿宋" w:hAnsi="仿宋" w:eastAsia="仿宋" w:cs="宋体"/>
                <w:sz w:val="24"/>
              </w:rPr>
            </w:pPr>
            <w:r>
              <w:rPr>
                <w:rFonts w:hint="eastAsia" w:ascii="仿宋" w:hAnsi="仿宋" w:eastAsia="仿宋" w:cs="宋体"/>
                <w:sz w:val="24"/>
              </w:rPr>
              <w:t>投标人对于项目实施过程的描述是否清晰，项目实施计划的是否合理，描述项目总体的时间及阶段性进度安排。</w:t>
            </w:r>
          </w:p>
          <w:p>
            <w:pPr>
              <w:pStyle w:val="37"/>
              <w:spacing w:line="360" w:lineRule="auto"/>
              <w:rPr>
                <w:rFonts w:ascii="仿宋" w:hAnsi="仿宋" w:eastAsia="仿宋" w:cs="宋体"/>
                <w:sz w:val="24"/>
              </w:rPr>
            </w:pPr>
            <w:r>
              <w:rPr>
                <w:rFonts w:hint="eastAsia" w:ascii="仿宋" w:hAnsi="仿宋" w:eastAsia="仿宋" w:cs="宋体"/>
                <w:sz w:val="24"/>
              </w:rPr>
              <w:t>第一档得2分:有实施组织机构、拟派人员，但方案简单，满足部分招标需求;</w:t>
            </w:r>
          </w:p>
          <w:p>
            <w:pPr>
              <w:pStyle w:val="37"/>
              <w:spacing w:line="360" w:lineRule="auto"/>
              <w:rPr>
                <w:rFonts w:ascii="仿宋" w:hAnsi="仿宋" w:eastAsia="仿宋" w:cs="宋体"/>
                <w:sz w:val="24"/>
              </w:rPr>
            </w:pPr>
            <w:r>
              <w:rPr>
                <w:rFonts w:hint="eastAsia" w:ascii="仿宋" w:hAnsi="仿宋" w:eastAsia="仿宋" w:cs="宋体"/>
                <w:sz w:val="24"/>
              </w:rPr>
              <w:t>第二档得</w:t>
            </w:r>
            <w:r>
              <w:rPr>
                <w:rFonts w:hint="eastAsia" w:ascii="仿宋" w:hAnsi="仿宋" w:eastAsia="仿宋" w:cs="宋体"/>
                <w:sz w:val="24"/>
                <w:lang w:val="en-US" w:eastAsia="zh-CN"/>
              </w:rPr>
              <w:t>3</w:t>
            </w:r>
            <w:r>
              <w:rPr>
                <w:rFonts w:hint="eastAsia" w:ascii="仿宋" w:hAnsi="仿宋" w:eastAsia="仿宋" w:cs="宋体"/>
                <w:sz w:val="24"/>
              </w:rPr>
              <w:t>分:有实施组织机构、拟派人员、实施规划、实施内容，但方案只满足招标要求;</w:t>
            </w:r>
          </w:p>
          <w:p>
            <w:pPr>
              <w:pStyle w:val="37"/>
              <w:spacing w:line="360" w:lineRule="auto"/>
              <w:rPr>
                <w:rFonts w:ascii="仿宋" w:hAnsi="仿宋" w:eastAsia="仿宋" w:cs="宋体"/>
                <w:sz w:val="24"/>
              </w:rPr>
            </w:pPr>
            <w:r>
              <w:rPr>
                <w:rFonts w:hint="eastAsia" w:ascii="仿宋" w:hAnsi="仿宋" w:eastAsia="仿宋" w:cs="宋体"/>
                <w:sz w:val="24"/>
              </w:rPr>
              <w:t>第三档得</w:t>
            </w:r>
            <w:r>
              <w:rPr>
                <w:rFonts w:hint="eastAsia" w:ascii="仿宋" w:hAnsi="仿宋" w:eastAsia="仿宋" w:cs="宋体"/>
                <w:sz w:val="24"/>
                <w:lang w:val="en-US" w:eastAsia="zh-CN"/>
              </w:rPr>
              <w:t>5</w:t>
            </w:r>
            <w:r>
              <w:rPr>
                <w:rFonts w:hint="eastAsia" w:ascii="仿宋" w:hAnsi="仿宋" w:eastAsia="仿宋" w:cs="宋体"/>
                <w:sz w:val="24"/>
              </w:rPr>
              <w:t>分:有实施组织机构、拟派人员、实施规划、实施内容、实施保障、实施进度计划、验收方案等，方案满足招标要求且贴合项目实际。</w:t>
            </w:r>
          </w:p>
          <w:p>
            <w:pPr>
              <w:snapToGrid w:val="0"/>
              <w:spacing w:line="360" w:lineRule="auto"/>
              <w:rPr>
                <w:rFonts w:ascii="仿宋" w:hAnsi="仿宋" w:eastAsia="仿宋" w:cs="宋体"/>
                <w:sz w:val="24"/>
              </w:rPr>
            </w:pPr>
            <w:r>
              <w:rPr>
                <w:rFonts w:hint="eastAsia" w:ascii="仿宋" w:hAnsi="仿宋" w:eastAsia="仿宋" w:cs="宋体"/>
                <w:sz w:val="24"/>
              </w:rPr>
              <w:t>未提供本项响应内容的不得分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222" w:type="dxa"/>
            <w:vMerge w:val="continue"/>
            <w:shd w:val="clear" w:color="auto" w:fill="auto"/>
          </w:tcPr>
          <w:p>
            <w:pPr>
              <w:spacing w:line="360" w:lineRule="auto"/>
              <w:jc w:val="center"/>
              <w:rPr>
                <w:rFonts w:ascii="仿宋" w:hAnsi="仿宋" w:eastAsia="仿宋" w:cs="宋体"/>
                <w:sz w:val="24"/>
              </w:rPr>
            </w:pPr>
          </w:p>
        </w:tc>
        <w:tc>
          <w:tcPr>
            <w:tcW w:w="729" w:type="dxa"/>
            <w:shd w:val="clear" w:color="auto" w:fill="auto"/>
          </w:tcPr>
          <w:p>
            <w:pPr>
              <w:snapToGrid w:val="0"/>
              <w:spacing w:line="360" w:lineRule="auto"/>
              <w:rPr>
                <w:rFonts w:ascii="仿宋" w:hAnsi="仿宋" w:eastAsia="仿宋" w:cs="宋体"/>
                <w:sz w:val="24"/>
              </w:rPr>
            </w:pPr>
            <w:r>
              <w:rPr>
                <w:rFonts w:hint="eastAsia" w:ascii="仿宋" w:hAnsi="仿宋" w:eastAsia="仿宋" w:cs="宋体"/>
                <w:sz w:val="24"/>
              </w:rPr>
              <w:t>3</w:t>
            </w:r>
          </w:p>
        </w:tc>
        <w:tc>
          <w:tcPr>
            <w:tcW w:w="1546" w:type="dxa"/>
            <w:shd w:val="clear" w:color="auto" w:fill="auto"/>
          </w:tcPr>
          <w:p>
            <w:pPr>
              <w:snapToGrid w:val="0"/>
              <w:spacing w:line="360" w:lineRule="auto"/>
              <w:rPr>
                <w:rFonts w:ascii="仿宋" w:hAnsi="仿宋" w:eastAsia="仿宋" w:cs="宋体"/>
                <w:sz w:val="24"/>
              </w:rPr>
            </w:pPr>
            <w:r>
              <w:rPr>
                <w:rFonts w:ascii="Calibri" w:hAnsi="Calibri" w:eastAsia="仿宋" w:cs="Calibri"/>
                <w:sz w:val="24"/>
              </w:rPr>
              <w:t> </w:t>
            </w:r>
            <w:r>
              <w:rPr>
                <w:rFonts w:hint="eastAsia" w:ascii="仿宋" w:hAnsi="仿宋" w:eastAsia="仿宋" w:cs="宋体"/>
                <w:sz w:val="24"/>
              </w:rPr>
              <w:t>项目功能性要求</w:t>
            </w:r>
          </w:p>
        </w:tc>
        <w:tc>
          <w:tcPr>
            <w:tcW w:w="731" w:type="dxa"/>
            <w:shd w:val="clear" w:color="auto" w:fill="auto"/>
          </w:tcPr>
          <w:p>
            <w:pPr>
              <w:snapToGrid w:val="0"/>
              <w:spacing w:line="360" w:lineRule="auto"/>
              <w:jc w:val="center"/>
              <w:rPr>
                <w:rFonts w:ascii="仿宋" w:hAnsi="仿宋" w:eastAsia="仿宋" w:cs="宋体"/>
                <w:sz w:val="24"/>
              </w:rPr>
            </w:pPr>
            <w:r>
              <w:rPr>
                <w:rFonts w:hint="eastAsia" w:ascii="仿宋" w:hAnsi="仿宋" w:eastAsia="仿宋" w:cs="宋体"/>
                <w:sz w:val="24"/>
              </w:rPr>
              <w:t>25</w:t>
            </w:r>
          </w:p>
        </w:tc>
        <w:tc>
          <w:tcPr>
            <w:tcW w:w="1267" w:type="dxa"/>
            <w:shd w:val="clear" w:color="auto" w:fill="auto"/>
          </w:tcPr>
          <w:p>
            <w:pPr>
              <w:snapToGrid w:val="0"/>
              <w:spacing w:line="360" w:lineRule="auto"/>
              <w:jc w:val="center"/>
              <w:rPr>
                <w:rFonts w:ascii="仿宋" w:hAnsi="仿宋" w:eastAsia="仿宋" w:cs="宋体"/>
                <w:sz w:val="24"/>
              </w:rPr>
            </w:pPr>
            <w:r>
              <w:rPr>
                <w:rFonts w:hint="eastAsia" w:ascii="仿宋" w:hAnsi="仿宋" w:eastAsia="仿宋" w:cs="宋体"/>
                <w:sz w:val="24"/>
              </w:rPr>
              <w:t>专家打分</w:t>
            </w:r>
          </w:p>
        </w:tc>
        <w:tc>
          <w:tcPr>
            <w:tcW w:w="3402" w:type="dxa"/>
            <w:shd w:val="clear" w:color="auto" w:fill="auto"/>
            <w:vAlign w:val="center"/>
          </w:tcPr>
          <w:p>
            <w:pPr>
              <w:snapToGrid w:val="0"/>
              <w:spacing w:line="360" w:lineRule="auto"/>
              <w:rPr>
                <w:rFonts w:ascii="仿宋" w:hAnsi="仿宋" w:eastAsia="仿宋" w:cs="宋体"/>
                <w:sz w:val="24"/>
              </w:rPr>
            </w:pPr>
            <w:r>
              <w:rPr>
                <w:rFonts w:hint="eastAsia" w:ascii="仿宋" w:hAnsi="仿宋" w:eastAsia="仿宋" w:cs="宋体"/>
                <w:sz w:val="24"/>
              </w:rPr>
              <w:t>评标小组根据投标人对项目需求中标“▲”号的项目服务要求的响应情况进行打分,每负偏离一项扣3 分，最低得0分。(投标书中需提供正负偏离表，格式自拟)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222" w:type="dxa"/>
            <w:vMerge w:val="continue"/>
            <w:shd w:val="clear" w:color="auto" w:fill="auto"/>
          </w:tcPr>
          <w:p>
            <w:pPr>
              <w:spacing w:line="360" w:lineRule="auto"/>
              <w:jc w:val="center"/>
              <w:rPr>
                <w:rFonts w:ascii="仿宋" w:hAnsi="仿宋" w:eastAsia="仿宋" w:cs="宋体"/>
                <w:sz w:val="24"/>
              </w:rPr>
            </w:pPr>
          </w:p>
        </w:tc>
        <w:tc>
          <w:tcPr>
            <w:tcW w:w="729" w:type="dxa"/>
            <w:shd w:val="clear" w:color="auto" w:fill="auto"/>
          </w:tcPr>
          <w:p>
            <w:pPr>
              <w:snapToGrid w:val="0"/>
              <w:spacing w:line="360" w:lineRule="auto"/>
              <w:rPr>
                <w:rFonts w:ascii="仿宋" w:hAnsi="仿宋" w:eastAsia="仿宋" w:cs="宋体"/>
                <w:sz w:val="24"/>
              </w:rPr>
            </w:pPr>
            <w:r>
              <w:rPr>
                <w:rFonts w:hint="eastAsia" w:ascii="仿宋" w:hAnsi="仿宋" w:eastAsia="仿宋" w:cs="宋体"/>
                <w:sz w:val="24"/>
              </w:rPr>
              <w:t>4</w:t>
            </w:r>
          </w:p>
        </w:tc>
        <w:tc>
          <w:tcPr>
            <w:tcW w:w="1546" w:type="dxa"/>
            <w:shd w:val="clear" w:color="auto" w:fill="auto"/>
          </w:tcPr>
          <w:p>
            <w:pPr>
              <w:snapToGrid w:val="0"/>
              <w:spacing w:line="360" w:lineRule="auto"/>
              <w:rPr>
                <w:rFonts w:ascii="仿宋" w:hAnsi="仿宋" w:eastAsia="仿宋" w:cs="宋体"/>
                <w:sz w:val="24"/>
              </w:rPr>
            </w:pPr>
            <w:r>
              <w:rPr>
                <w:rFonts w:hint="eastAsia" w:ascii="仿宋" w:hAnsi="仿宋" w:eastAsia="仿宋" w:cs="宋体"/>
                <w:sz w:val="24"/>
              </w:rPr>
              <w:t>服务方案和服务承诺</w:t>
            </w:r>
          </w:p>
        </w:tc>
        <w:tc>
          <w:tcPr>
            <w:tcW w:w="731" w:type="dxa"/>
            <w:shd w:val="clear" w:color="auto" w:fill="auto"/>
          </w:tcPr>
          <w:p>
            <w:pPr>
              <w:snapToGrid w:val="0"/>
              <w:spacing w:line="360" w:lineRule="auto"/>
              <w:jc w:val="center"/>
              <w:rPr>
                <w:rFonts w:hint="eastAsia" w:ascii="仿宋" w:hAnsi="仿宋" w:eastAsia="仿宋" w:cs="宋体"/>
                <w:sz w:val="24"/>
                <w:lang w:eastAsia="zh-CN"/>
              </w:rPr>
            </w:pPr>
            <w:r>
              <w:rPr>
                <w:rFonts w:hint="eastAsia" w:ascii="仿宋" w:hAnsi="仿宋" w:eastAsia="仿宋" w:cs="宋体"/>
                <w:sz w:val="24"/>
                <w:lang w:val="en-US" w:eastAsia="zh-CN"/>
              </w:rPr>
              <w:t>5</w:t>
            </w:r>
          </w:p>
        </w:tc>
        <w:tc>
          <w:tcPr>
            <w:tcW w:w="1267" w:type="dxa"/>
            <w:shd w:val="clear" w:color="auto" w:fill="auto"/>
          </w:tcPr>
          <w:p>
            <w:pPr>
              <w:snapToGrid w:val="0"/>
              <w:spacing w:line="360" w:lineRule="auto"/>
              <w:jc w:val="center"/>
              <w:rPr>
                <w:rFonts w:ascii="仿宋" w:hAnsi="仿宋" w:eastAsia="仿宋" w:cs="宋体"/>
                <w:sz w:val="24"/>
              </w:rPr>
            </w:pPr>
            <w:r>
              <w:rPr>
                <w:rFonts w:hint="eastAsia" w:ascii="仿宋" w:hAnsi="仿宋" w:eastAsia="仿宋" w:cs="宋体"/>
                <w:sz w:val="24"/>
              </w:rPr>
              <w:t>专家打分</w:t>
            </w:r>
          </w:p>
        </w:tc>
        <w:tc>
          <w:tcPr>
            <w:tcW w:w="3402" w:type="dxa"/>
            <w:shd w:val="clear" w:color="auto" w:fill="auto"/>
            <w:vAlign w:val="center"/>
          </w:tcPr>
          <w:p>
            <w:pPr>
              <w:pStyle w:val="37"/>
              <w:spacing w:line="360" w:lineRule="auto"/>
              <w:rPr>
                <w:rFonts w:ascii="仿宋" w:hAnsi="仿宋" w:eastAsia="仿宋" w:cs="宋体"/>
                <w:sz w:val="24"/>
              </w:rPr>
            </w:pPr>
            <w:r>
              <w:rPr>
                <w:rFonts w:hint="eastAsia" w:ascii="仿宋" w:hAnsi="仿宋" w:eastAsia="仿宋" w:cs="宋体"/>
                <w:sz w:val="24"/>
              </w:rPr>
              <w:t>评标小组根据投标人对项目培训、服务方案和服务承诺进行总体评价。</w:t>
            </w:r>
          </w:p>
          <w:p>
            <w:pPr>
              <w:pStyle w:val="37"/>
              <w:spacing w:line="360" w:lineRule="auto"/>
              <w:rPr>
                <w:rFonts w:ascii="仿宋" w:hAnsi="仿宋" w:eastAsia="仿宋" w:cs="宋体"/>
                <w:sz w:val="24"/>
              </w:rPr>
            </w:pPr>
            <w:r>
              <w:rPr>
                <w:rFonts w:hint="eastAsia" w:ascii="仿宋" w:hAnsi="仿宋" w:eastAsia="仿宋" w:cs="宋体"/>
                <w:sz w:val="24"/>
              </w:rPr>
              <w:t>第一档得</w:t>
            </w:r>
            <w:r>
              <w:rPr>
                <w:rFonts w:hint="eastAsia" w:ascii="仿宋" w:hAnsi="仿宋" w:eastAsia="仿宋" w:cs="宋体"/>
                <w:sz w:val="24"/>
                <w:lang w:val="en-US" w:eastAsia="zh-CN"/>
              </w:rPr>
              <w:t>2</w:t>
            </w:r>
            <w:r>
              <w:rPr>
                <w:rFonts w:hint="eastAsia" w:ascii="仿宋" w:hAnsi="仿宋" w:eastAsia="仿宋" w:cs="宋体"/>
                <w:sz w:val="24"/>
              </w:rPr>
              <w:t>分:基本满足本项目服务要求，提供了租赁服务方案，对项目租赁服务要求、响应时间有实.质性响应的，但是对服务体系、服务方式、内容描述不清晰的;.</w:t>
            </w:r>
          </w:p>
          <w:p>
            <w:pPr>
              <w:pStyle w:val="37"/>
              <w:spacing w:line="360" w:lineRule="auto"/>
              <w:rPr>
                <w:rFonts w:ascii="仿宋" w:hAnsi="仿宋" w:eastAsia="仿宋" w:cs="宋体"/>
                <w:sz w:val="24"/>
              </w:rPr>
            </w:pPr>
            <w:r>
              <w:rPr>
                <w:rFonts w:hint="eastAsia" w:ascii="仿宋" w:hAnsi="仿宋" w:eastAsia="仿宋" w:cs="宋体"/>
                <w:sz w:val="24"/>
              </w:rPr>
              <w:t>第二档得</w:t>
            </w:r>
            <w:r>
              <w:rPr>
                <w:rFonts w:hint="eastAsia" w:ascii="仿宋" w:hAnsi="仿宋" w:eastAsia="仿宋" w:cs="宋体"/>
                <w:sz w:val="24"/>
                <w:lang w:val="en-US" w:eastAsia="zh-CN"/>
              </w:rPr>
              <w:t>3</w:t>
            </w:r>
            <w:r>
              <w:rPr>
                <w:rFonts w:hint="eastAsia" w:ascii="仿宋" w:hAnsi="仿宋" w:eastAsia="仿宋" w:cs="宋体"/>
                <w:sz w:val="24"/>
              </w:rPr>
              <w:t>分:基本满足本项目租赁服务要求，提供服务方案，对本项目的租赁服务体系、服务内容、服务方式、响应能办响应时间有方案的;</w:t>
            </w:r>
          </w:p>
          <w:p>
            <w:pPr>
              <w:snapToGrid w:val="0"/>
              <w:spacing w:line="360" w:lineRule="auto"/>
              <w:rPr>
                <w:rFonts w:ascii="仿宋" w:hAnsi="仿宋" w:eastAsia="仿宋" w:cs="宋体"/>
                <w:sz w:val="24"/>
              </w:rPr>
            </w:pPr>
            <w:r>
              <w:rPr>
                <w:rFonts w:hint="eastAsia" w:ascii="仿宋" w:hAnsi="仿宋" w:eastAsia="仿宋" w:cs="宋体"/>
                <w:sz w:val="24"/>
              </w:rPr>
              <w:t>第三档得</w:t>
            </w:r>
            <w:r>
              <w:rPr>
                <w:rFonts w:hint="eastAsia" w:ascii="仿宋" w:hAnsi="仿宋" w:eastAsia="仿宋" w:cs="宋体"/>
                <w:sz w:val="24"/>
                <w:lang w:val="en-US" w:eastAsia="zh-CN"/>
              </w:rPr>
              <w:t>5</w:t>
            </w:r>
            <w:r>
              <w:rPr>
                <w:rFonts w:hint="eastAsia" w:ascii="仿宋" w:hAnsi="仿宋" w:eastAsia="仿宋" w:cs="宋体"/>
                <w:sz w:val="24"/>
              </w:rPr>
              <w:t>分:完全满足本项目租赁服务要求，提供针对性的、完整的现场服务及支持方案，有完善的运行保障方案针对本项目的租赁服务体系、服务内容、服务方式、响应能力、响应时间有详细的，切实可行的方案，且方案有针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shd w:val="clear" w:color="auto" w:fill="auto"/>
          </w:tcPr>
          <w:p>
            <w:pPr>
              <w:spacing w:line="360" w:lineRule="auto"/>
              <w:jc w:val="center"/>
              <w:rPr>
                <w:rFonts w:ascii="仿宋" w:hAnsi="仿宋" w:eastAsia="仿宋" w:cs="宋体"/>
                <w:sz w:val="24"/>
              </w:rPr>
            </w:pPr>
            <w:r>
              <w:rPr>
                <w:rFonts w:hint="eastAsia" w:ascii="仿宋" w:hAnsi="仿宋" w:eastAsia="仿宋" w:cs="宋体"/>
                <w:sz w:val="24"/>
              </w:rPr>
              <w:t>3</w:t>
            </w:r>
          </w:p>
        </w:tc>
        <w:tc>
          <w:tcPr>
            <w:tcW w:w="4273" w:type="dxa"/>
            <w:gridSpan w:val="4"/>
            <w:shd w:val="clear" w:color="auto" w:fill="auto"/>
          </w:tcPr>
          <w:p>
            <w:pPr>
              <w:spacing w:line="360" w:lineRule="auto"/>
              <w:jc w:val="center"/>
              <w:rPr>
                <w:rFonts w:ascii="仿宋" w:hAnsi="仿宋" w:eastAsia="仿宋" w:cs="宋体"/>
                <w:sz w:val="24"/>
              </w:rPr>
            </w:pPr>
            <w:r>
              <w:rPr>
                <w:rFonts w:hint="eastAsia" w:ascii="仿宋" w:hAnsi="仿宋" w:eastAsia="仿宋" w:cs="宋体"/>
                <w:sz w:val="24"/>
              </w:rPr>
              <w:t>商务部分</w:t>
            </w:r>
          </w:p>
        </w:tc>
        <w:tc>
          <w:tcPr>
            <w:tcW w:w="3402" w:type="dxa"/>
            <w:shd w:val="clear" w:color="auto" w:fill="auto"/>
          </w:tcPr>
          <w:p>
            <w:pPr>
              <w:spacing w:line="360" w:lineRule="auto"/>
              <w:jc w:val="center"/>
              <w:rPr>
                <w:rFonts w:ascii="仿宋" w:hAnsi="仿宋" w:eastAsia="仿宋" w:cs="宋体"/>
                <w:sz w:val="24"/>
              </w:rPr>
            </w:pPr>
            <w:r>
              <w:rPr>
                <w:rFonts w:hint="eastAsia" w:ascii="仿宋" w:hAnsi="仿宋" w:eastAsia="仿宋" w:cs="宋体"/>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222" w:type="dxa"/>
            <w:vMerge w:val="restart"/>
            <w:shd w:val="clear" w:color="auto" w:fill="auto"/>
          </w:tcPr>
          <w:p>
            <w:pPr>
              <w:spacing w:line="360" w:lineRule="auto"/>
              <w:jc w:val="center"/>
              <w:rPr>
                <w:rFonts w:ascii="仿宋" w:hAnsi="仿宋" w:eastAsia="仿宋" w:cs="宋体"/>
                <w:sz w:val="24"/>
              </w:rPr>
            </w:pPr>
          </w:p>
        </w:tc>
        <w:tc>
          <w:tcPr>
            <w:tcW w:w="729" w:type="dxa"/>
            <w:shd w:val="clear" w:color="auto" w:fill="auto"/>
          </w:tcPr>
          <w:p>
            <w:pPr>
              <w:spacing w:line="360" w:lineRule="auto"/>
              <w:jc w:val="center"/>
              <w:rPr>
                <w:rFonts w:ascii="仿宋" w:hAnsi="仿宋" w:eastAsia="仿宋" w:cs="宋体"/>
                <w:sz w:val="24"/>
              </w:rPr>
            </w:pPr>
            <w:r>
              <w:rPr>
                <w:rFonts w:hint="eastAsia" w:ascii="仿宋" w:hAnsi="仿宋" w:eastAsia="仿宋" w:cs="宋体"/>
                <w:sz w:val="24"/>
              </w:rPr>
              <w:t>序号</w:t>
            </w:r>
          </w:p>
        </w:tc>
        <w:tc>
          <w:tcPr>
            <w:tcW w:w="1546" w:type="dxa"/>
            <w:shd w:val="clear" w:color="auto" w:fill="auto"/>
          </w:tcPr>
          <w:p>
            <w:pPr>
              <w:spacing w:line="360" w:lineRule="auto"/>
              <w:jc w:val="center"/>
              <w:rPr>
                <w:rFonts w:ascii="仿宋" w:hAnsi="仿宋" w:eastAsia="仿宋" w:cs="宋体"/>
                <w:sz w:val="24"/>
              </w:rPr>
            </w:pPr>
            <w:r>
              <w:rPr>
                <w:rFonts w:hint="eastAsia" w:ascii="仿宋" w:hAnsi="仿宋" w:eastAsia="仿宋" w:cs="宋体"/>
                <w:sz w:val="24"/>
              </w:rPr>
              <w:t>评分因素</w:t>
            </w:r>
          </w:p>
        </w:tc>
        <w:tc>
          <w:tcPr>
            <w:tcW w:w="731" w:type="dxa"/>
            <w:shd w:val="clear" w:color="auto" w:fill="auto"/>
          </w:tcPr>
          <w:p>
            <w:pPr>
              <w:spacing w:line="360" w:lineRule="auto"/>
              <w:jc w:val="center"/>
              <w:rPr>
                <w:rFonts w:ascii="仿宋" w:hAnsi="仿宋" w:eastAsia="仿宋" w:cs="宋体"/>
                <w:sz w:val="24"/>
              </w:rPr>
            </w:pPr>
            <w:r>
              <w:rPr>
                <w:rFonts w:hint="eastAsia" w:ascii="仿宋" w:hAnsi="仿宋" w:eastAsia="仿宋" w:cs="宋体"/>
                <w:sz w:val="24"/>
              </w:rPr>
              <w:t>权重</w:t>
            </w:r>
          </w:p>
        </w:tc>
        <w:tc>
          <w:tcPr>
            <w:tcW w:w="1267" w:type="dxa"/>
            <w:shd w:val="clear" w:color="auto" w:fill="auto"/>
          </w:tcPr>
          <w:p>
            <w:pPr>
              <w:spacing w:line="360" w:lineRule="auto"/>
              <w:jc w:val="center"/>
              <w:rPr>
                <w:rFonts w:ascii="仿宋" w:hAnsi="仿宋" w:eastAsia="仿宋" w:cs="宋体"/>
                <w:sz w:val="24"/>
              </w:rPr>
            </w:pPr>
            <w:r>
              <w:rPr>
                <w:rFonts w:hint="eastAsia" w:ascii="仿宋" w:hAnsi="仿宋" w:eastAsia="仿宋" w:cs="宋体"/>
                <w:sz w:val="24"/>
              </w:rPr>
              <w:t>评分方式</w:t>
            </w:r>
          </w:p>
        </w:tc>
        <w:tc>
          <w:tcPr>
            <w:tcW w:w="3402" w:type="dxa"/>
            <w:shd w:val="clear" w:color="auto" w:fill="auto"/>
          </w:tcPr>
          <w:p>
            <w:pPr>
              <w:spacing w:line="360" w:lineRule="auto"/>
              <w:jc w:val="center"/>
              <w:rPr>
                <w:rFonts w:ascii="仿宋" w:hAnsi="仿宋" w:eastAsia="仿宋" w:cs="宋体"/>
                <w:kern w:val="0"/>
                <w:sz w:val="24"/>
              </w:rPr>
            </w:pPr>
            <w:r>
              <w:rPr>
                <w:rFonts w:hint="eastAsia" w:ascii="仿宋" w:hAnsi="仿宋" w:eastAsia="仿宋" w:cs="宋体"/>
                <w:kern w:val="0"/>
                <w:sz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222" w:type="dxa"/>
            <w:vMerge w:val="continue"/>
            <w:shd w:val="clear" w:color="auto" w:fill="auto"/>
          </w:tcPr>
          <w:p>
            <w:pPr>
              <w:spacing w:line="360" w:lineRule="auto"/>
              <w:jc w:val="center"/>
              <w:rPr>
                <w:rFonts w:ascii="仿宋" w:hAnsi="仿宋" w:eastAsia="仿宋" w:cs="宋体"/>
                <w:sz w:val="24"/>
              </w:rPr>
            </w:pPr>
          </w:p>
        </w:tc>
        <w:tc>
          <w:tcPr>
            <w:tcW w:w="729" w:type="dxa"/>
            <w:shd w:val="clear" w:color="auto" w:fill="auto"/>
          </w:tcPr>
          <w:p>
            <w:pPr>
              <w:spacing w:line="360" w:lineRule="auto"/>
              <w:jc w:val="center"/>
              <w:rPr>
                <w:rFonts w:ascii="仿宋" w:hAnsi="仿宋" w:eastAsia="仿宋" w:cs="宋体"/>
                <w:sz w:val="24"/>
              </w:rPr>
            </w:pPr>
            <w:r>
              <w:rPr>
                <w:rFonts w:hint="eastAsia" w:ascii="仿宋" w:hAnsi="仿宋" w:eastAsia="仿宋" w:cs="宋体"/>
                <w:sz w:val="24"/>
              </w:rPr>
              <w:t>1</w:t>
            </w:r>
          </w:p>
        </w:tc>
        <w:tc>
          <w:tcPr>
            <w:tcW w:w="1546" w:type="dxa"/>
            <w:shd w:val="clear" w:color="auto" w:fill="auto"/>
          </w:tcPr>
          <w:p>
            <w:pPr>
              <w:spacing w:line="360" w:lineRule="auto"/>
              <w:rPr>
                <w:rFonts w:ascii="仿宋" w:hAnsi="仿宋" w:eastAsia="仿宋" w:cs="宋体"/>
                <w:sz w:val="24"/>
              </w:rPr>
            </w:pPr>
            <w:r>
              <w:rPr>
                <w:rFonts w:hint="eastAsia" w:ascii="仿宋" w:hAnsi="仿宋" w:eastAsia="仿宋" w:cs="宋体"/>
                <w:sz w:val="24"/>
              </w:rPr>
              <w:t>服务能力证明</w:t>
            </w:r>
          </w:p>
        </w:tc>
        <w:tc>
          <w:tcPr>
            <w:tcW w:w="731" w:type="dxa"/>
            <w:shd w:val="clear" w:color="auto" w:fill="auto"/>
          </w:tcPr>
          <w:p>
            <w:pPr>
              <w:spacing w:line="360" w:lineRule="auto"/>
              <w:jc w:val="center"/>
              <w:rPr>
                <w:rFonts w:ascii="仿宋" w:hAnsi="仿宋" w:eastAsia="仿宋" w:cs="宋体"/>
                <w:sz w:val="24"/>
              </w:rPr>
            </w:pPr>
            <w:r>
              <w:rPr>
                <w:rFonts w:hint="eastAsia" w:ascii="仿宋" w:hAnsi="仿宋" w:eastAsia="仿宋" w:cs="宋体"/>
                <w:sz w:val="24"/>
              </w:rPr>
              <w:t>11</w:t>
            </w:r>
          </w:p>
        </w:tc>
        <w:tc>
          <w:tcPr>
            <w:tcW w:w="1267" w:type="dxa"/>
            <w:shd w:val="clear" w:color="auto" w:fill="auto"/>
          </w:tcPr>
          <w:p>
            <w:pPr>
              <w:spacing w:line="360" w:lineRule="auto"/>
              <w:jc w:val="center"/>
              <w:rPr>
                <w:rFonts w:ascii="仿宋" w:hAnsi="仿宋" w:eastAsia="仿宋" w:cs="宋体"/>
                <w:sz w:val="24"/>
              </w:rPr>
            </w:pPr>
            <w:r>
              <w:rPr>
                <w:rFonts w:hint="eastAsia" w:ascii="仿宋" w:hAnsi="仿宋" w:eastAsia="仿宋" w:cs="宋体"/>
                <w:sz w:val="24"/>
              </w:rPr>
              <w:t>专家打分</w:t>
            </w:r>
          </w:p>
        </w:tc>
        <w:tc>
          <w:tcPr>
            <w:tcW w:w="3402" w:type="dxa"/>
            <w:shd w:val="clear" w:color="auto" w:fill="auto"/>
          </w:tcPr>
          <w:p>
            <w:pPr>
              <w:widowControl/>
              <w:spacing w:line="360" w:lineRule="auto"/>
              <w:jc w:val="left"/>
              <w:rPr>
                <w:rFonts w:ascii="仿宋" w:hAnsi="仿宋" w:eastAsia="仿宋" w:cs="宋体"/>
                <w:kern w:val="0"/>
                <w:sz w:val="24"/>
              </w:rPr>
            </w:pPr>
            <w:r>
              <w:rPr>
                <w:rFonts w:hint="eastAsia" w:ascii="仿宋" w:hAnsi="仿宋" w:eastAsia="仿宋" w:cs="宋体"/>
                <w:kern w:val="0"/>
                <w:sz w:val="24"/>
              </w:rPr>
              <w:t>投标人具有信息技术服务运行维护标准符合性证书（ITSS）三级得1分、二级及以上得3分，否则不得分。</w:t>
            </w:r>
          </w:p>
          <w:p>
            <w:pPr>
              <w:pStyle w:val="10"/>
              <w:spacing w:line="360" w:lineRule="auto"/>
              <w:rPr>
                <w:rFonts w:ascii="仿宋" w:hAnsi="仿宋" w:eastAsia="仿宋" w:cs="宋体"/>
                <w:sz w:val="24"/>
              </w:rPr>
            </w:pPr>
            <w:r>
              <w:rPr>
                <w:rFonts w:hint="eastAsia" w:ascii="仿宋" w:hAnsi="仿宋" w:eastAsia="仿宋" w:cs="宋体"/>
                <w:kern w:val="0"/>
                <w:sz w:val="24"/>
              </w:rPr>
              <w:t>投标人具有信息系统建设和服务能力（cs4）四级及以上得8分、二级及以上得4分，一级得2分，否则不得分。</w:t>
            </w:r>
          </w:p>
          <w:p>
            <w:pPr>
              <w:widowControl/>
              <w:spacing w:line="360" w:lineRule="auto"/>
              <w:jc w:val="left"/>
              <w:rPr>
                <w:rFonts w:ascii="仿宋" w:hAnsi="仿宋" w:eastAsia="仿宋" w:cs="宋体"/>
                <w:kern w:val="0"/>
                <w:sz w:val="24"/>
              </w:rPr>
            </w:pPr>
            <w:r>
              <w:rPr>
                <w:rFonts w:hint="eastAsia" w:ascii="仿宋" w:hAnsi="仿宋" w:eastAsia="仿宋" w:cs="宋体"/>
                <w:kern w:val="0"/>
                <w:sz w:val="24"/>
              </w:rPr>
              <w:t>（证书获得日期必须在本项目招标公告发布日之前，否则视为无效；提供证书复印件加盖公章）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22" w:type="dxa"/>
            <w:vMerge w:val="continue"/>
            <w:shd w:val="clear" w:color="auto" w:fill="auto"/>
          </w:tcPr>
          <w:p>
            <w:pPr>
              <w:spacing w:line="360" w:lineRule="auto"/>
              <w:jc w:val="center"/>
              <w:rPr>
                <w:rFonts w:ascii="仿宋" w:hAnsi="仿宋" w:eastAsia="仿宋" w:cs="宋体"/>
                <w:sz w:val="24"/>
              </w:rPr>
            </w:pPr>
          </w:p>
        </w:tc>
        <w:tc>
          <w:tcPr>
            <w:tcW w:w="729" w:type="dxa"/>
            <w:shd w:val="clear" w:color="auto" w:fill="auto"/>
          </w:tcPr>
          <w:p>
            <w:pPr>
              <w:spacing w:line="360" w:lineRule="auto"/>
              <w:jc w:val="center"/>
              <w:rPr>
                <w:rFonts w:ascii="仿宋" w:hAnsi="仿宋" w:eastAsia="仿宋" w:cs="宋体"/>
                <w:sz w:val="24"/>
              </w:rPr>
            </w:pPr>
            <w:r>
              <w:rPr>
                <w:rFonts w:hint="eastAsia" w:ascii="仿宋" w:hAnsi="仿宋" w:eastAsia="仿宋" w:cs="宋体"/>
                <w:sz w:val="24"/>
              </w:rPr>
              <w:t>2</w:t>
            </w:r>
          </w:p>
        </w:tc>
        <w:tc>
          <w:tcPr>
            <w:tcW w:w="1546" w:type="dxa"/>
            <w:shd w:val="clear" w:color="auto" w:fill="auto"/>
          </w:tcPr>
          <w:p>
            <w:pPr>
              <w:spacing w:line="360" w:lineRule="auto"/>
              <w:rPr>
                <w:rFonts w:ascii="仿宋" w:hAnsi="仿宋" w:eastAsia="仿宋" w:cs="宋体"/>
                <w:color w:val="000000"/>
                <w:sz w:val="24"/>
              </w:rPr>
            </w:pPr>
            <w:r>
              <w:rPr>
                <w:rFonts w:hint="eastAsia" w:ascii="仿宋" w:hAnsi="仿宋" w:eastAsia="仿宋" w:cs="宋体"/>
                <w:color w:val="000000"/>
                <w:sz w:val="24"/>
              </w:rPr>
              <w:t>本地服务能力</w:t>
            </w:r>
          </w:p>
        </w:tc>
        <w:tc>
          <w:tcPr>
            <w:tcW w:w="731" w:type="dxa"/>
            <w:shd w:val="clear" w:color="auto" w:fill="auto"/>
          </w:tcPr>
          <w:p>
            <w:pPr>
              <w:spacing w:line="360" w:lineRule="auto"/>
              <w:jc w:val="center"/>
              <w:rPr>
                <w:rFonts w:ascii="仿宋" w:hAnsi="仿宋" w:eastAsia="仿宋" w:cs="宋体"/>
                <w:sz w:val="24"/>
              </w:rPr>
            </w:pPr>
            <w:r>
              <w:rPr>
                <w:rFonts w:hint="eastAsia" w:ascii="仿宋" w:hAnsi="仿宋" w:eastAsia="仿宋" w:cs="宋体"/>
                <w:sz w:val="24"/>
              </w:rPr>
              <w:t>4</w:t>
            </w:r>
          </w:p>
        </w:tc>
        <w:tc>
          <w:tcPr>
            <w:tcW w:w="1267" w:type="dxa"/>
            <w:shd w:val="clear" w:color="auto" w:fill="auto"/>
          </w:tcPr>
          <w:p>
            <w:pPr>
              <w:spacing w:line="360" w:lineRule="auto"/>
              <w:rPr>
                <w:rFonts w:ascii="仿宋" w:hAnsi="仿宋" w:eastAsia="仿宋" w:cs="宋体"/>
                <w:sz w:val="24"/>
              </w:rPr>
            </w:pPr>
            <w:r>
              <w:rPr>
                <w:rFonts w:hint="eastAsia" w:ascii="仿宋" w:hAnsi="仿宋" w:eastAsia="仿宋" w:cs="宋体"/>
                <w:sz w:val="24"/>
              </w:rPr>
              <w:t>专家打分</w:t>
            </w:r>
          </w:p>
        </w:tc>
        <w:tc>
          <w:tcPr>
            <w:tcW w:w="3402" w:type="dxa"/>
            <w:shd w:val="clear" w:color="auto" w:fill="auto"/>
          </w:tcPr>
          <w:p>
            <w:pPr>
              <w:widowControl/>
              <w:spacing w:line="360" w:lineRule="auto"/>
              <w:jc w:val="left"/>
              <w:rPr>
                <w:rFonts w:hint="eastAsia" w:ascii="仿宋" w:hAnsi="仿宋" w:eastAsia="仿宋" w:cs="宋体"/>
                <w:sz w:val="24"/>
              </w:rPr>
            </w:pPr>
            <w:r>
              <w:rPr>
                <w:rFonts w:hint="eastAsia" w:ascii="仿宋" w:hAnsi="仿宋" w:eastAsia="仿宋" w:cs="宋体"/>
                <w:sz w:val="24"/>
                <w:lang w:val="en-US" w:eastAsia="zh-CN"/>
              </w:rPr>
              <w:t>投</w:t>
            </w:r>
            <w:r>
              <w:rPr>
                <w:rFonts w:hint="eastAsia" w:ascii="仿宋" w:hAnsi="仿宋" w:eastAsia="仿宋" w:cs="宋体"/>
                <w:sz w:val="24"/>
              </w:rPr>
              <w:t>标人公司总部在深圳、在深圳有分公司或办事处，得</w:t>
            </w:r>
            <w:r>
              <w:rPr>
                <w:rFonts w:hint="eastAsia" w:ascii="仿宋" w:hAnsi="仿宋" w:eastAsia="仿宋" w:cs="宋体"/>
                <w:sz w:val="24"/>
                <w:lang w:val="en-US" w:eastAsia="zh-CN"/>
              </w:rPr>
              <w:t>4</w:t>
            </w:r>
            <w:r>
              <w:rPr>
                <w:rFonts w:hint="eastAsia" w:ascii="仿宋" w:hAnsi="仿宋" w:eastAsia="仿宋" w:cs="宋体"/>
                <w:sz w:val="24"/>
              </w:rPr>
              <w:t>分；</w:t>
            </w:r>
          </w:p>
          <w:p>
            <w:pPr>
              <w:widowControl/>
              <w:spacing w:line="360" w:lineRule="auto"/>
              <w:jc w:val="left"/>
              <w:rPr>
                <w:rFonts w:ascii="仿宋" w:hAnsi="仿宋" w:eastAsia="仿宋" w:cs="宋体"/>
                <w:sz w:val="24"/>
              </w:rPr>
            </w:pPr>
            <w:r>
              <w:rPr>
                <w:rFonts w:hint="eastAsia" w:ascii="仿宋" w:hAnsi="仿宋" w:eastAsia="仿宋" w:cs="宋体"/>
                <w:sz w:val="24"/>
              </w:rPr>
              <w:t>须提供相关证明的复印件（需加盖投标人公章）。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22" w:type="dxa"/>
            <w:vMerge w:val="continue"/>
            <w:shd w:val="clear" w:color="auto" w:fill="auto"/>
          </w:tcPr>
          <w:p>
            <w:pPr>
              <w:spacing w:line="360" w:lineRule="auto"/>
              <w:jc w:val="center"/>
              <w:rPr>
                <w:rFonts w:ascii="仿宋" w:hAnsi="仿宋" w:eastAsia="仿宋" w:cs="宋体"/>
                <w:sz w:val="24"/>
              </w:rPr>
            </w:pPr>
          </w:p>
        </w:tc>
        <w:tc>
          <w:tcPr>
            <w:tcW w:w="729" w:type="dxa"/>
            <w:shd w:val="clear" w:color="auto" w:fill="auto"/>
          </w:tcPr>
          <w:p>
            <w:pPr>
              <w:spacing w:line="360" w:lineRule="auto"/>
              <w:jc w:val="center"/>
              <w:rPr>
                <w:rFonts w:ascii="仿宋" w:hAnsi="仿宋" w:eastAsia="仿宋" w:cs="宋体"/>
                <w:sz w:val="24"/>
              </w:rPr>
            </w:pPr>
            <w:r>
              <w:rPr>
                <w:rFonts w:hint="eastAsia" w:ascii="仿宋" w:hAnsi="仿宋" w:eastAsia="仿宋" w:cs="宋体"/>
                <w:sz w:val="24"/>
              </w:rPr>
              <w:t>3</w:t>
            </w:r>
          </w:p>
        </w:tc>
        <w:tc>
          <w:tcPr>
            <w:tcW w:w="1546" w:type="dxa"/>
            <w:shd w:val="clear" w:color="auto" w:fill="auto"/>
          </w:tcPr>
          <w:p>
            <w:pPr>
              <w:spacing w:line="360" w:lineRule="auto"/>
              <w:rPr>
                <w:rFonts w:ascii="仿宋" w:hAnsi="仿宋" w:eastAsia="仿宋" w:cs="宋体"/>
                <w:color w:val="000000"/>
                <w:sz w:val="24"/>
              </w:rPr>
            </w:pPr>
            <w:r>
              <w:rPr>
                <w:rFonts w:hint="eastAsia" w:ascii="仿宋" w:hAnsi="仿宋" w:eastAsia="仿宋" w:cs="宋体"/>
                <w:sz w:val="24"/>
              </w:rPr>
              <w:t>技术服务保障体系证明</w:t>
            </w:r>
          </w:p>
        </w:tc>
        <w:tc>
          <w:tcPr>
            <w:tcW w:w="731" w:type="dxa"/>
            <w:shd w:val="clear" w:color="auto" w:fill="auto"/>
          </w:tcPr>
          <w:p>
            <w:pPr>
              <w:spacing w:line="360" w:lineRule="auto"/>
              <w:jc w:val="center"/>
              <w:rPr>
                <w:rFonts w:ascii="仿宋" w:hAnsi="仿宋" w:eastAsia="仿宋" w:cs="宋体"/>
                <w:sz w:val="24"/>
              </w:rPr>
            </w:pPr>
            <w:r>
              <w:rPr>
                <w:rFonts w:hint="eastAsia" w:ascii="仿宋" w:hAnsi="仿宋" w:eastAsia="仿宋" w:cs="宋体"/>
                <w:sz w:val="24"/>
              </w:rPr>
              <w:t>9</w:t>
            </w:r>
          </w:p>
        </w:tc>
        <w:tc>
          <w:tcPr>
            <w:tcW w:w="1267" w:type="dxa"/>
            <w:shd w:val="clear" w:color="auto" w:fill="auto"/>
          </w:tcPr>
          <w:p>
            <w:pPr>
              <w:spacing w:line="360" w:lineRule="auto"/>
              <w:rPr>
                <w:rFonts w:ascii="仿宋" w:hAnsi="仿宋" w:eastAsia="仿宋" w:cs="宋体"/>
                <w:sz w:val="24"/>
              </w:rPr>
            </w:pPr>
            <w:r>
              <w:rPr>
                <w:rFonts w:hint="eastAsia" w:ascii="仿宋" w:hAnsi="仿宋" w:eastAsia="仿宋" w:cs="宋体"/>
                <w:sz w:val="24"/>
              </w:rPr>
              <w:t>专家打分</w:t>
            </w:r>
          </w:p>
        </w:tc>
        <w:tc>
          <w:tcPr>
            <w:tcW w:w="3402" w:type="dxa"/>
            <w:shd w:val="clear" w:color="auto" w:fill="auto"/>
          </w:tcPr>
          <w:p>
            <w:pPr>
              <w:widowControl/>
              <w:spacing w:line="360" w:lineRule="auto"/>
              <w:jc w:val="left"/>
              <w:rPr>
                <w:rFonts w:ascii="仿宋" w:hAnsi="仿宋" w:eastAsia="仿宋" w:cs="宋体"/>
                <w:sz w:val="24"/>
              </w:rPr>
            </w:pPr>
            <w:r>
              <w:rPr>
                <w:rFonts w:hint="eastAsia" w:ascii="仿宋" w:hAnsi="仿宋" w:eastAsia="仿宋" w:cs="宋体"/>
                <w:sz w:val="24"/>
              </w:rPr>
              <w:t>投标人具备信息技术服务管理体系认证证书、信息安全管理体系认证证书、知识产权管理体系认证证书，每提供一项得3分，最多得9分。(证书获得日期必须在本项目招标公告发布日之前，否则视为无效;提供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222" w:type="dxa"/>
            <w:vMerge w:val="continue"/>
            <w:shd w:val="clear" w:color="auto" w:fill="auto"/>
          </w:tcPr>
          <w:p>
            <w:pPr>
              <w:spacing w:line="360" w:lineRule="auto"/>
              <w:jc w:val="center"/>
              <w:rPr>
                <w:rFonts w:ascii="仿宋" w:hAnsi="仿宋" w:eastAsia="仿宋" w:cs="宋体"/>
                <w:sz w:val="24"/>
              </w:rPr>
            </w:pPr>
          </w:p>
        </w:tc>
        <w:tc>
          <w:tcPr>
            <w:tcW w:w="729" w:type="dxa"/>
            <w:shd w:val="clear" w:color="auto" w:fill="auto"/>
          </w:tcPr>
          <w:p>
            <w:pPr>
              <w:spacing w:line="360" w:lineRule="auto"/>
              <w:jc w:val="center"/>
              <w:rPr>
                <w:rFonts w:ascii="仿宋" w:hAnsi="仿宋" w:eastAsia="仿宋" w:cs="宋体"/>
                <w:sz w:val="24"/>
              </w:rPr>
            </w:pPr>
            <w:r>
              <w:rPr>
                <w:rFonts w:hint="eastAsia" w:ascii="仿宋" w:hAnsi="仿宋" w:eastAsia="仿宋" w:cs="宋体"/>
                <w:sz w:val="24"/>
              </w:rPr>
              <w:t>4</w:t>
            </w:r>
          </w:p>
        </w:tc>
        <w:tc>
          <w:tcPr>
            <w:tcW w:w="1546" w:type="dxa"/>
            <w:shd w:val="clear" w:color="auto" w:fill="auto"/>
          </w:tcPr>
          <w:p>
            <w:pPr>
              <w:spacing w:line="360" w:lineRule="auto"/>
              <w:rPr>
                <w:rFonts w:ascii="仿宋" w:hAnsi="仿宋" w:eastAsia="仿宋" w:cs="宋体"/>
                <w:color w:val="000000"/>
                <w:sz w:val="24"/>
              </w:rPr>
            </w:pPr>
            <w:r>
              <w:rPr>
                <w:rFonts w:hint="eastAsia" w:ascii="仿宋" w:hAnsi="仿宋" w:eastAsia="仿宋" w:cs="宋体"/>
                <w:color w:val="000000"/>
                <w:sz w:val="24"/>
              </w:rPr>
              <w:t>企业服务实力</w:t>
            </w:r>
          </w:p>
        </w:tc>
        <w:tc>
          <w:tcPr>
            <w:tcW w:w="731" w:type="dxa"/>
            <w:shd w:val="clear" w:color="auto" w:fill="auto"/>
          </w:tcPr>
          <w:p>
            <w:pPr>
              <w:spacing w:line="360" w:lineRule="auto"/>
              <w:jc w:val="center"/>
              <w:rPr>
                <w:rFonts w:ascii="仿宋" w:hAnsi="仿宋" w:eastAsia="仿宋" w:cs="宋体"/>
                <w:sz w:val="24"/>
              </w:rPr>
            </w:pPr>
            <w:r>
              <w:rPr>
                <w:rFonts w:hint="eastAsia" w:ascii="仿宋" w:hAnsi="仿宋" w:eastAsia="仿宋" w:cs="宋体"/>
                <w:sz w:val="24"/>
              </w:rPr>
              <w:t>6</w:t>
            </w:r>
          </w:p>
        </w:tc>
        <w:tc>
          <w:tcPr>
            <w:tcW w:w="1267" w:type="dxa"/>
            <w:shd w:val="clear" w:color="auto" w:fill="auto"/>
          </w:tcPr>
          <w:p>
            <w:pPr>
              <w:spacing w:line="360" w:lineRule="auto"/>
              <w:jc w:val="center"/>
              <w:rPr>
                <w:rFonts w:ascii="仿宋" w:hAnsi="仿宋" w:eastAsia="仿宋" w:cs="宋体"/>
                <w:sz w:val="24"/>
              </w:rPr>
            </w:pPr>
            <w:r>
              <w:rPr>
                <w:rFonts w:hint="eastAsia" w:ascii="仿宋" w:hAnsi="仿宋" w:eastAsia="仿宋" w:cs="宋体"/>
                <w:sz w:val="24"/>
              </w:rPr>
              <w:t>专家打分</w:t>
            </w:r>
          </w:p>
        </w:tc>
        <w:tc>
          <w:tcPr>
            <w:tcW w:w="3402" w:type="dxa"/>
            <w:shd w:val="clear" w:color="auto" w:fill="auto"/>
          </w:tcPr>
          <w:p>
            <w:pPr>
              <w:widowControl/>
              <w:spacing w:line="360" w:lineRule="auto"/>
              <w:jc w:val="left"/>
              <w:rPr>
                <w:rFonts w:ascii="仿宋" w:hAnsi="仿宋" w:eastAsia="仿宋" w:cs="宋体"/>
                <w:kern w:val="0"/>
                <w:sz w:val="24"/>
              </w:rPr>
            </w:pPr>
            <w:r>
              <w:rPr>
                <w:rFonts w:hint="eastAsia" w:ascii="仿宋" w:hAnsi="仿宋" w:eastAsia="仿宋" w:cs="宋体"/>
                <w:kern w:val="0"/>
                <w:sz w:val="24"/>
              </w:rPr>
              <w:t>投标人具有“两化融合管理体系”评定证书的得6分，否则不得分.（证书获得日期必须在本项目招标公告发布日之前，否则视为无效；提供证书复印件加盖公章）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222" w:type="dxa"/>
            <w:vMerge w:val="continue"/>
            <w:shd w:val="clear" w:color="auto" w:fill="auto"/>
          </w:tcPr>
          <w:p>
            <w:pPr>
              <w:spacing w:line="360" w:lineRule="auto"/>
              <w:jc w:val="center"/>
              <w:rPr>
                <w:rFonts w:ascii="仿宋" w:hAnsi="仿宋" w:eastAsia="仿宋" w:cs="宋体"/>
                <w:sz w:val="24"/>
              </w:rPr>
            </w:pPr>
          </w:p>
        </w:tc>
        <w:tc>
          <w:tcPr>
            <w:tcW w:w="729" w:type="dxa"/>
            <w:shd w:val="clear" w:color="auto" w:fill="auto"/>
          </w:tcPr>
          <w:p>
            <w:pPr>
              <w:spacing w:line="360" w:lineRule="auto"/>
              <w:jc w:val="center"/>
              <w:rPr>
                <w:rFonts w:ascii="仿宋" w:hAnsi="仿宋" w:eastAsia="仿宋" w:cs="宋体"/>
                <w:sz w:val="24"/>
              </w:rPr>
            </w:pPr>
            <w:r>
              <w:rPr>
                <w:rFonts w:hint="eastAsia" w:ascii="仿宋" w:hAnsi="仿宋" w:eastAsia="仿宋" w:cs="宋体"/>
                <w:sz w:val="24"/>
              </w:rPr>
              <w:t>5</w:t>
            </w:r>
          </w:p>
        </w:tc>
        <w:tc>
          <w:tcPr>
            <w:tcW w:w="1546" w:type="dxa"/>
            <w:shd w:val="clear" w:color="auto" w:fill="auto"/>
          </w:tcPr>
          <w:p>
            <w:pPr>
              <w:spacing w:line="360" w:lineRule="auto"/>
              <w:rPr>
                <w:rFonts w:ascii="仿宋" w:hAnsi="仿宋" w:eastAsia="仿宋" w:cs="宋体"/>
                <w:color w:val="000000"/>
                <w:sz w:val="24"/>
              </w:rPr>
            </w:pPr>
            <w:r>
              <w:rPr>
                <w:rFonts w:hint="eastAsia" w:ascii="仿宋" w:hAnsi="仿宋" w:eastAsia="仿宋" w:cs="宋体"/>
                <w:color w:val="000000"/>
                <w:sz w:val="24"/>
              </w:rPr>
              <w:t>服务业绩</w:t>
            </w:r>
          </w:p>
        </w:tc>
        <w:tc>
          <w:tcPr>
            <w:tcW w:w="731" w:type="dxa"/>
            <w:shd w:val="clear" w:color="auto" w:fill="auto"/>
          </w:tcPr>
          <w:p>
            <w:pPr>
              <w:spacing w:line="360" w:lineRule="auto"/>
              <w:jc w:val="center"/>
              <w:rPr>
                <w:rFonts w:ascii="仿宋" w:hAnsi="仿宋" w:eastAsia="仿宋" w:cs="宋体"/>
                <w:sz w:val="24"/>
              </w:rPr>
            </w:pPr>
            <w:r>
              <w:rPr>
                <w:rFonts w:hint="eastAsia" w:ascii="仿宋" w:hAnsi="仿宋" w:eastAsia="仿宋" w:cs="宋体"/>
                <w:sz w:val="24"/>
              </w:rPr>
              <w:t>10</w:t>
            </w:r>
          </w:p>
        </w:tc>
        <w:tc>
          <w:tcPr>
            <w:tcW w:w="1267" w:type="dxa"/>
            <w:shd w:val="clear" w:color="auto" w:fill="auto"/>
          </w:tcPr>
          <w:p>
            <w:pPr>
              <w:spacing w:line="360" w:lineRule="auto"/>
              <w:jc w:val="center"/>
              <w:rPr>
                <w:rFonts w:ascii="仿宋" w:hAnsi="仿宋" w:eastAsia="仿宋" w:cs="宋体"/>
                <w:sz w:val="24"/>
              </w:rPr>
            </w:pPr>
            <w:r>
              <w:rPr>
                <w:rFonts w:hint="eastAsia" w:ascii="仿宋" w:hAnsi="仿宋" w:eastAsia="仿宋" w:cs="宋体"/>
                <w:sz w:val="24"/>
              </w:rPr>
              <w:t>专家打分</w:t>
            </w:r>
          </w:p>
        </w:tc>
        <w:tc>
          <w:tcPr>
            <w:tcW w:w="3402" w:type="dxa"/>
            <w:shd w:val="clear" w:color="auto" w:fill="auto"/>
          </w:tcPr>
          <w:p>
            <w:pPr>
              <w:widowControl/>
              <w:spacing w:line="360" w:lineRule="auto"/>
              <w:jc w:val="left"/>
              <w:rPr>
                <w:rFonts w:ascii="仿宋" w:hAnsi="仿宋" w:eastAsia="仿宋" w:cs="宋体"/>
                <w:kern w:val="0"/>
                <w:sz w:val="24"/>
              </w:rPr>
            </w:pPr>
            <w:r>
              <w:rPr>
                <w:rFonts w:hint="eastAsia" w:ascii="仿宋" w:hAnsi="仿宋" w:eastAsia="仿宋" w:cs="宋体"/>
                <w:kern w:val="0"/>
                <w:sz w:val="24"/>
              </w:rPr>
              <w:t>自2018年以来，投标人具有租赁类项目承建案例的，每提供一项得1分，最多得10分（提供合同复印件加盖公章）</w:t>
            </w:r>
          </w:p>
        </w:tc>
      </w:tr>
      <w:bookmarkEnd w:id="0"/>
      <w:bookmarkEnd w:id="1"/>
      <w:bookmarkEnd w:id="2"/>
      <w:bookmarkEnd w:id="3"/>
      <w:bookmarkEnd w:id="4"/>
      <w:bookmarkEnd w:id="5"/>
      <w:bookmarkEnd w:id="6"/>
      <w:bookmarkEnd w:id="7"/>
      <w:bookmarkEnd w:id="8"/>
    </w:tbl>
    <w:p>
      <w:pPr>
        <w:spacing w:line="560" w:lineRule="exact"/>
        <w:ind w:firstLine="480" w:firstLineChars="200"/>
        <w:rPr>
          <w:rFonts w:hint="eastAsia" w:ascii="宋体" w:hAnsi="宋体" w:cs="Times New Roman"/>
          <w:sz w:val="24"/>
        </w:rPr>
      </w:pPr>
      <w:r>
        <w:rPr>
          <w:rFonts w:hint="eastAsia" w:ascii="宋体" w:hAnsi="宋体" w:cs="Times New Roman"/>
          <w:sz w:val="24"/>
        </w:rPr>
        <w:t>1、评标方法：</w:t>
      </w:r>
    </w:p>
    <w:p>
      <w:pPr>
        <w:spacing w:line="560" w:lineRule="exact"/>
        <w:ind w:firstLine="480" w:firstLineChars="200"/>
        <w:rPr>
          <w:rFonts w:ascii="宋体" w:hAnsi="宋体"/>
          <w:sz w:val="24"/>
        </w:rPr>
      </w:pPr>
      <w:r>
        <w:rPr>
          <w:rFonts w:hint="eastAsia" w:ascii="宋体" w:hAnsi="宋体"/>
          <w:sz w:val="24"/>
        </w:rPr>
        <w:t>由我办自行组织有关人员组成</w:t>
      </w:r>
      <w:r>
        <w:rPr>
          <w:rFonts w:hint="eastAsia" w:ascii="宋体" w:hAnsi="宋体" w:cs="宋体"/>
          <w:kern w:val="0"/>
          <w:sz w:val="24"/>
        </w:rPr>
        <w:t>采购评标小组（以下简称“评标小组”）按有关</w:t>
      </w:r>
      <w:r>
        <w:rPr>
          <w:rFonts w:hint="eastAsia" w:ascii="宋体" w:hAnsi="宋体"/>
          <w:sz w:val="24"/>
        </w:rPr>
        <w:t>规定进行评标。</w:t>
      </w:r>
    </w:p>
    <w:p>
      <w:pPr>
        <w:numPr>
          <w:ilvl w:val="0"/>
          <w:numId w:val="3"/>
        </w:numPr>
        <w:spacing w:line="560" w:lineRule="exact"/>
        <w:ind w:left="284" w:firstLine="283"/>
        <w:rPr>
          <w:rFonts w:ascii="宋体" w:hAnsi="宋体"/>
          <w:sz w:val="24"/>
        </w:rPr>
      </w:pPr>
      <w:r>
        <w:rPr>
          <w:rFonts w:hint="eastAsia" w:ascii="宋体" w:hAnsi="宋体"/>
          <w:sz w:val="24"/>
        </w:rPr>
        <w:t>评定方法</w:t>
      </w:r>
    </w:p>
    <w:p>
      <w:pPr>
        <w:spacing w:line="560" w:lineRule="exact"/>
        <w:ind w:firstLine="566" w:firstLineChars="236"/>
        <w:rPr>
          <w:rFonts w:ascii="宋体" w:hAnsi="宋体" w:cs="Arial"/>
          <w:sz w:val="24"/>
        </w:rPr>
      </w:pPr>
      <w:r>
        <w:rPr>
          <w:rFonts w:hint="eastAsia" w:ascii="宋体" w:hAnsi="宋体"/>
          <w:sz w:val="24"/>
        </w:rPr>
        <w:t>(1)采用综合评标法，由采购评标小组确定中标候选单位</w:t>
      </w:r>
      <w:r>
        <w:rPr>
          <w:rFonts w:ascii="宋体" w:hAnsi="宋体" w:cs="Arial"/>
          <w:sz w:val="24"/>
        </w:rPr>
        <w:t>，综合评估分最高的为中标候选人。</w:t>
      </w:r>
    </w:p>
    <w:p>
      <w:pPr>
        <w:pStyle w:val="30"/>
        <w:numPr>
          <w:ilvl w:val="0"/>
          <w:numId w:val="4"/>
        </w:numPr>
        <w:spacing w:line="560" w:lineRule="exact"/>
        <w:ind w:firstLineChars="0"/>
        <w:rPr>
          <w:rFonts w:ascii="宋体" w:hAnsi="宋体" w:cs="Arial"/>
          <w:vanish/>
          <w:sz w:val="24"/>
        </w:rPr>
      </w:pPr>
      <w:bookmarkStart w:id="9" w:name="NotRequestDemoOrRequestInstantReply"/>
      <w:bookmarkEnd w:id="9"/>
      <w:bookmarkStart w:id="10" w:name="IsHasSample2"/>
      <w:bookmarkEnd w:id="10"/>
    </w:p>
    <w:p>
      <w:pPr>
        <w:pStyle w:val="30"/>
        <w:numPr>
          <w:ilvl w:val="0"/>
          <w:numId w:val="4"/>
        </w:numPr>
        <w:spacing w:line="560" w:lineRule="exact"/>
        <w:ind w:firstLineChars="0"/>
        <w:rPr>
          <w:rFonts w:ascii="宋体" w:hAnsi="宋体" w:cs="Arial"/>
          <w:vanish/>
          <w:sz w:val="24"/>
        </w:rPr>
      </w:pPr>
    </w:p>
    <w:p>
      <w:pPr>
        <w:pStyle w:val="30"/>
        <w:numPr>
          <w:ilvl w:val="0"/>
          <w:numId w:val="4"/>
        </w:numPr>
        <w:spacing w:line="560" w:lineRule="exact"/>
        <w:ind w:firstLineChars="0"/>
        <w:rPr>
          <w:rFonts w:ascii="宋体" w:hAnsi="宋体" w:cs="Arial"/>
          <w:vanish/>
          <w:sz w:val="24"/>
        </w:rPr>
      </w:pPr>
    </w:p>
    <w:p>
      <w:pPr>
        <w:pStyle w:val="30"/>
        <w:numPr>
          <w:ilvl w:val="1"/>
          <w:numId w:val="4"/>
        </w:numPr>
        <w:spacing w:line="560" w:lineRule="exact"/>
        <w:ind w:firstLineChars="0"/>
        <w:rPr>
          <w:rFonts w:ascii="宋体" w:hAnsi="宋体" w:cs="Arial"/>
          <w:vanish/>
          <w:sz w:val="24"/>
        </w:rPr>
      </w:pPr>
    </w:p>
    <w:p>
      <w:pPr>
        <w:pStyle w:val="30"/>
        <w:numPr>
          <w:ilvl w:val="1"/>
          <w:numId w:val="4"/>
        </w:numPr>
        <w:spacing w:line="560" w:lineRule="exact"/>
        <w:ind w:firstLineChars="0"/>
        <w:rPr>
          <w:rFonts w:ascii="宋体" w:hAnsi="宋体" w:cs="Arial"/>
          <w:vanish/>
          <w:sz w:val="24"/>
        </w:rPr>
      </w:pPr>
    </w:p>
    <w:p>
      <w:pPr>
        <w:pStyle w:val="30"/>
        <w:numPr>
          <w:ilvl w:val="1"/>
          <w:numId w:val="4"/>
        </w:numPr>
        <w:spacing w:line="560" w:lineRule="exact"/>
        <w:ind w:firstLineChars="0"/>
        <w:rPr>
          <w:rFonts w:ascii="宋体" w:hAnsi="宋体" w:cs="Arial"/>
          <w:vanish/>
          <w:sz w:val="24"/>
        </w:rPr>
      </w:pPr>
    </w:p>
    <w:p>
      <w:pPr>
        <w:pStyle w:val="30"/>
        <w:numPr>
          <w:ilvl w:val="1"/>
          <w:numId w:val="4"/>
        </w:numPr>
        <w:spacing w:line="560" w:lineRule="exact"/>
        <w:ind w:firstLineChars="0"/>
        <w:rPr>
          <w:rFonts w:ascii="宋体" w:hAnsi="宋体" w:cs="Arial"/>
          <w:vanish/>
          <w:sz w:val="24"/>
        </w:rPr>
      </w:pPr>
    </w:p>
    <w:p>
      <w:pPr>
        <w:pStyle w:val="30"/>
        <w:numPr>
          <w:ilvl w:val="1"/>
          <w:numId w:val="4"/>
        </w:numPr>
        <w:spacing w:line="560" w:lineRule="exact"/>
        <w:ind w:firstLineChars="0"/>
        <w:rPr>
          <w:rFonts w:ascii="宋体" w:hAnsi="宋体" w:cs="Arial"/>
          <w:vanish/>
          <w:sz w:val="24"/>
        </w:rPr>
      </w:pPr>
    </w:p>
    <w:p>
      <w:pPr>
        <w:pStyle w:val="30"/>
        <w:numPr>
          <w:ilvl w:val="1"/>
          <w:numId w:val="4"/>
        </w:numPr>
        <w:spacing w:line="560" w:lineRule="exact"/>
        <w:ind w:firstLineChars="0"/>
        <w:rPr>
          <w:rFonts w:ascii="宋体" w:hAnsi="宋体" w:cs="Arial"/>
          <w:vanish/>
          <w:sz w:val="24"/>
        </w:rPr>
      </w:pPr>
    </w:p>
    <w:p>
      <w:pPr>
        <w:pStyle w:val="30"/>
        <w:numPr>
          <w:ilvl w:val="1"/>
          <w:numId w:val="4"/>
        </w:numPr>
        <w:spacing w:line="560" w:lineRule="exact"/>
        <w:ind w:firstLineChars="0"/>
        <w:rPr>
          <w:rFonts w:ascii="宋体" w:hAnsi="宋体" w:cs="Arial"/>
          <w:vanish/>
          <w:sz w:val="24"/>
        </w:rPr>
      </w:pPr>
    </w:p>
    <w:tbl>
      <w:tblPr>
        <w:tblStyle w:val="15"/>
        <w:tblW w:w="7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528"/>
        <w:gridCol w:w="184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cs="Arial"/>
                <w:b/>
                <w:bCs/>
                <w:sz w:val="24"/>
              </w:rPr>
            </w:pPr>
            <w:bookmarkStart w:id="11" w:name="SubDocScoreRule"/>
            <w:r>
              <w:rPr>
                <w:rFonts w:hint="eastAsia" w:ascii="宋体" w:hAnsi="宋体" w:cs="Arial"/>
                <w:b/>
                <w:bCs/>
                <w:sz w:val="24"/>
              </w:rPr>
              <w:t>评估因素</w:t>
            </w:r>
          </w:p>
        </w:tc>
        <w:tc>
          <w:tcPr>
            <w:tcW w:w="152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Arial"/>
                <w:b/>
                <w:bCs/>
                <w:sz w:val="24"/>
              </w:rPr>
            </w:pPr>
            <w:r>
              <w:rPr>
                <w:rFonts w:hint="eastAsia" w:ascii="宋体" w:hAnsi="宋体" w:cs="Arial"/>
                <w:b/>
                <w:bCs/>
                <w:sz w:val="24"/>
              </w:rPr>
              <w:t>技术</w:t>
            </w:r>
          </w:p>
        </w:tc>
        <w:tc>
          <w:tcPr>
            <w:tcW w:w="184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Arial"/>
                <w:b/>
                <w:bCs/>
                <w:sz w:val="24"/>
              </w:rPr>
            </w:pPr>
            <w:r>
              <w:rPr>
                <w:rFonts w:hint="eastAsia" w:ascii="宋体" w:hAnsi="宋体" w:cs="Arial"/>
                <w:b/>
                <w:bCs/>
                <w:sz w:val="24"/>
              </w:rPr>
              <w:t>商务</w:t>
            </w:r>
          </w:p>
        </w:tc>
        <w:tc>
          <w:tcPr>
            <w:tcW w:w="15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Arial"/>
                <w:b/>
                <w:bCs/>
                <w:sz w:val="24"/>
              </w:rPr>
            </w:pPr>
            <w:r>
              <w:rPr>
                <w:rFonts w:hint="eastAsia" w:ascii="宋体" w:hAnsi="宋体" w:cs="Arial"/>
                <w:b/>
                <w:bCs/>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12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cs="Arial"/>
                <w:bCs/>
                <w:sz w:val="24"/>
              </w:rPr>
            </w:pPr>
            <w:r>
              <w:rPr>
                <w:rFonts w:hint="eastAsia" w:ascii="宋体" w:hAnsi="宋体" w:cs="Arial"/>
                <w:bCs/>
                <w:sz w:val="24"/>
              </w:rPr>
              <w:t>评估权重</w:t>
            </w:r>
          </w:p>
        </w:tc>
        <w:tc>
          <w:tcPr>
            <w:tcW w:w="152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Arial"/>
                <w:bCs/>
                <w:sz w:val="24"/>
              </w:rPr>
            </w:pPr>
            <w:r>
              <w:rPr>
                <w:rFonts w:hint="eastAsia" w:ascii="宋体" w:hAnsi="宋体" w:cs="Arial"/>
                <w:bCs/>
                <w:sz w:val="24"/>
              </w:rPr>
              <w:t>40</w:t>
            </w:r>
          </w:p>
        </w:tc>
        <w:tc>
          <w:tcPr>
            <w:tcW w:w="184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Arial"/>
                <w:bCs/>
                <w:sz w:val="24"/>
              </w:rPr>
            </w:pPr>
            <w:r>
              <w:rPr>
                <w:rFonts w:hint="eastAsia" w:ascii="宋体" w:hAnsi="宋体" w:cs="Arial"/>
                <w:bCs/>
                <w:sz w:val="24"/>
              </w:rPr>
              <w:t>40</w:t>
            </w:r>
          </w:p>
        </w:tc>
        <w:tc>
          <w:tcPr>
            <w:tcW w:w="15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Arial"/>
                <w:bCs/>
                <w:sz w:val="24"/>
              </w:rPr>
            </w:pPr>
            <w:r>
              <w:rPr>
                <w:rFonts w:hint="eastAsia" w:ascii="宋体" w:hAnsi="宋体" w:cs="Arial"/>
                <w:bCs/>
                <w:sz w:val="24"/>
              </w:rPr>
              <w:t>20</w:t>
            </w:r>
          </w:p>
        </w:tc>
      </w:tr>
      <w:bookmarkEnd w:id="11"/>
    </w:tbl>
    <w:p>
      <w:pPr>
        <w:autoSpaceDE w:val="0"/>
        <w:autoSpaceDN w:val="0"/>
        <w:adjustRightInd w:val="0"/>
        <w:spacing w:line="560" w:lineRule="exact"/>
        <w:ind w:firstLine="453" w:firstLineChars="189"/>
        <w:rPr>
          <w:rFonts w:ascii="宋体" w:hAnsi="宋体" w:cs="Arial"/>
          <w:sz w:val="24"/>
          <w:lang w:val="zh-CN"/>
        </w:rPr>
      </w:pPr>
      <w:r>
        <w:rPr>
          <w:rFonts w:ascii="宋体" w:hAnsi="宋体" w:cs="Arial"/>
          <w:sz w:val="24"/>
          <w:lang w:val="zh-CN"/>
        </w:rPr>
        <w:t>(2)</w:t>
      </w:r>
      <w:r>
        <w:rPr>
          <w:rFonts w:hint="eastAsia" w:ascii="宋体" w:hAnsi="宋体" w:cs="Arial"/>
          <w:sz w:val="24"/>
          <w:lang w:val="zh-CN"/>
        </w:rPr>
        <w:t>综合评估分</w:t>
      </w:r>
      <w:bookmarkStart w:id="12" w:name="CompositeScoreDesc"/>
      <w:r>
        <w:rPr>
          <w:rFonts w:hint="eastAsia" w:ascii="宋体" w:hAnsi="宋体" w:cs="Arial"/>
          <w:sz w:val="24"/>
          <w:lang w:val="zh-CN"/>
        </w:rPr>
        <w:t>：综合评估分（精确到小数点后两位)=技术得分+商务得分+价格得分</w:t>
      </w:r>
      <w:bookmarkEnd w:id="12"/>
      <w:r>
        <w:rPr>
          <w:rFonts w:hint="eastAsia" w:ascii="宋体" w:hAnsi="宋体" w:cs="Arial"/>
          <w:sz w:val="24"/>
          <w:lang w:val="zh-CN"/>
        </w:rPr>
        <w:t xml:space="preserve">。 </w:t>
      </w:r>
    </w:p>
    <w:p>
      <w:pPr>
        <w:autoSpaceDE w:val="0"/>
        <w:autoSpaceDN w:val="0"/>
        <w:adjustRightInd w:val="0"/>
        <w:spacing w:line="560" w:lineRule="exact"/>
        <w:ind w:firstLine="453" w:firstLineChars="189"/>
        <w:rPr>
          <w:rFonts w:ascii="宋体" w:hAnsi="宋体" w:cs="Arial"/>
          <w:sz w:val="24"/>
          <w:lang w:val="zh-CN"/>
        </w:rPr>
      </w:pPr>
      <w:r>
        <w:rPr>
          <w:rFonts w:ascii="宋体" w:hAnsi="宋体" w:cs="Arial"/>
          <w:sz w:val="24"/>
          <w:lang w:val="zh-CN"/>
        </w:rPr>
        <w:t>(3)</w:t>
      </w:r>
      <w:r>
        <w:rPr>
          <w:rFonts w:hint="eastAsia" w:ascii="宋体" w:hAnsi="宋体" w:cs="Arial"/>
          <w:sz w:val="24"/>
          <w:lang w:val="zh-CN"/>
        </w:rPr>
        <w:t>将综合评估分从高到低排序，得分相同的，按投标报价由低到高顺序排列。得分且投标报价相同的，按技术得分高低顺序排列。</w:t>
      </w:r>
    </w:p>
    <w:p>
      <w:pPr>
        <w:spacing w:line="560" w:lineRule="exact"/>
        <w:ind w:firstLine="480" w:firstLineChars="200"/>
        <w:rPr>
          <w:rFonts w:ascii="宋体" w:hAnsi="宋体"/>
          <w:sz w:val="24"/>
        </w:rPr>
      </w:pPr>
      <w:r>
        <w:rPr>
          <w:rFonts w:ascii="宋体" w:hAnsi="宋体" w:cs="Arial"/>
          <w:sz w:val="24"/>
          <w:lang w:val="zh-CN"/>
        </w:rPr>
        <w:t>(4)</w:t>
      </w:r>
      <w:r>
        <w:rPr>
          <w:rFonts w:hint="eastAsia" w:ascii="宋体" w:hAnsi="宋体"/>
          <w:sz w:val="24"/>
        </w:rPr>
        <w:t xml:space="preserve"> 如不够三家投标人产生流标，本次招标将重新招标。若出现2次流标，可采取竞争性谈判或单一来源的方式。</w:t>
      </w:r>
    </w:p>
    <w:p>
      <w:pPr>
        <w:snapToGrid w:val="0"/>
        <w:spacing w:line="560" w:lineRule="exact"/>
        <w:ind w:firstLine="340" w:firstLineChars="141"/>
        <w:outlineLvl w:val="0"/>
        <w:rPr>
          <w:rFonts w:ascii="宋体" w:hAnsi="宋体"/>
          <w:b/>
          <w:sz w:val="24"/>
        </w:rPr>
      </w:pPr>
      <w:r>
        <w:rPr>
          <w:rFonts w:hint="eastAsia" w:ascii="宋体" w:hAnsi="宋体"/>
          <w:b/>
          <w:sz w:val="24"/>
        </w:rPr>
        <w:t>（四）中标价格</w:t>
      </w:r>
    </w:p>
    <w:p>
      <w:pPr>
        <w:snapToGrid w:val="0"/>
        <w:spacing w:line="560" w:lineRule="exact"/>
        <w:ind w:firstLine="480" w:firstLineChars="200"/>
        <w:rPr>
          <w:rFonts w:ascii="宋体" w:hAnsi="宋体"/>
          <w:sz w:val="24"/>
        </w:rPr>
      </w:pPr>
      <w:r>
        <w:rPr>
          <w:rFonts w:hint="eastAsia" w:ascii="宋体" w:hAnsi="宋体"/>
          <w:sz w:val="24"/>
        </w:rPr>
        <w:t>中标人的报价即为中标价格。</w:t>
      </w:r>
    </w:p>
    <w:p>
      <w:pPr>
        <w:snapToGrid w:val="0"/>
        <w:spacing w:line="560" w:lineRule="exact"/>
        <w:ind w:firstLine="340" w:firstLineChars="141"/>
        <w:outlineLvl w:val="0"/>
        <w:rPr>
          <w:rFonts w:ascii="宋体" w:hAnsi="宋体"/>
          <w:b/>
          <w:sz w:val="24"/>
        </w:rPr>
      </w:pPr>
      <w:r>
        <w:rPr>
          <w:rFonts w:hint="eastAsia" w:ascii="宋体" w:hAnsi="宋体"/>
          <w:b/>
          <w:sz w:val="24"/>
        </w:rPr>
        <w:t>（五）招标人的权利</w:t>
      </w:r>
    </w:p>
    <w:p>
      <w:pPr>
        <w:spacing w:line="560" w:lineRule="exact"/>
        <w:ind w:firstLine="480" w:firstLineChars="200"/>
        <w:rPr>
          <w:rFonts w:ascii="宋体" w:hAnsi="宋体"/>
          <w:sz w:val="24"/>
        </w:rPr>
      </w:pPr>
      <w:r>
        <w:rPr>
          <w:rFonts w:hint="eastAsia" w:ascii="宋体" w:hAnsi="宋体"/>
          <w:sz w:val="24"/>
        </w:rPr>
        <w:t>招标人确定中标人后，无义务向未中标的投标人解释其未中标的原因。</w:t>
      </w:r>
    </w:p>
    <w:p>
      <w:pPr>
        <w:spacing w:line="560" w:lineRule="exact"/>
        <w:ind w:left="1" w:firstLine="453" w:firstLineChars="188"/>
        <w:outlineLvl w:val="0"/>
        <w:rPr>
          <w:rFonts w:ascii="宋体" w:hAnsi="宋体"/>
          <w:b/>
          <w:sz w:val="24"/>
        </w:rPr>
      </w:pPr>
      <w:r>
        <w:rPr>
          <w:rFonts w:hint="eastAsia" w:ascii="宋体" w:hAnsi="宋体"/>
          <w:b/>
          <w:sz w:val="24"/>
        </w:rPr>
        <w:t>五、纪律与相关事项</w:t>
      </w:r>
    </w:p>
    <w:p>
      <w:pPr>
        <w:spacing w:line="560" w:lineRule="exact"/>
        <w:ind w:firstLine="480" w:firstLineChars="200"/>
        <w:rPr>
          <w:rFonts w:ascii="宋体" w:hAnsi="宋体"/>
          <w:sz w:val="24"/>
        </w:rPr>
      </w:pPr>
      <w:r>
        <w:rPr>
          <w:rFonts w:hint="eastAsia" w:ascii="宋体" w:hAnsi="宋体"/>
          <w:sz w:val="24"/>
        </w:rPr>
        <w:t>（一）除投标人被要求对投标文件进行澄清外，从开标之时起至签订合约期间，投标人不得就其投标文件有关的事项主动与评标小组、招标人联系。</w:t>
      </w:r>
    </w:p>
    <w:p>
      <w:pPr>
        <w:spacing w:line="560" w:lineRule="exact"/>
        <w:ind w:firstLine="480" w:firstLineChars="200"/>
        <w:rPr>
          <w:rFonts w:ascii="宋体" w:hAnsi="宋体"/>
          <w:sz w:val="24"/>
        </w:rPr>
      </w:pPr>
      <w:r>
        <w:rPr>
          <w:rFonts w:hint="eastAsia" w:ascii="宋体" w:hAnsi="宋体"/>
          <w:sz w:val="24"/>
        </w:rPr>
        <w:t>（二）从开标之时起至签订合约期间，投标人试图在投标文件审查、比较和评价时对评标小组和招标人施加任何影响或对招标人的授标决定进行影响，都可能导致其投标资格被取消。</w:t>
      </w:r>
    </w:p>
    <w:p>
      <w:pPr>
        <w:spacing w:line="560" w:lineRule="exact"/>
        <w:ind w:firstLine="480" w:firstLineChars="200"/>
        <w:rPr>
          <w:rFonts w:ascii="宋体" w:hAnsi="宋体"/>
          <w:sz w:val="24"/>
        </w:rPr>
      </w:pPr>
      <w:r>
        <w:rPr>
          <w:rFonts w:hint="eastAsia" w:ascii="宋体" w:hAnsi="宋体"/>
          <w:sz w:val="24"/>
        </w:rPr>
        <w:t>（三）投标人不得串通作弊，以不正当的手段妨碍、排挤其他投标人，破坏公平竞争原则。</w:t>
      </w:r>
    </w:p>
    <w:p>
      <w:pPr>
        <w:spacing w:line="560" w:lineRule="exact"/>
        <w:ind w:firstLine="480" w:firstLineChars="200"/>
        <w:rPr>
          <w:rFonts w:ascii="宋体" w:hAnsi="宋体"/>
          <w:sz w:val="24"/>
        </w:rPr>
      </w:pPr>
      <w:r>
        <w:rPr>
          <w:rFonts w:hint="eastAsia" w:ascii="宋体" w:hAnsi="宋体"/>
          <w:sz w:val="24"/>
        </w:rPr>
        <w:t>（四）投标人获取的邀请函不得用作本次投标以外的任何用途。</w:t>
      </w:r>
    </w:p>
    <w:p>
      <w:pPr>
        <w:spacing w:line="560" w:lineRule="exact"/>
        <w:ind w:firstLine="480" w:firstLineChars="200"/>
        <w:rPr>
          <w:rFonts w:ascii="宋体" w:hAnsi="宋体"/>
          <w:sz w:val="24"/>
        </w:rPr>
      </w:pPr>
      <w:r>
        <w:rPr>
          <w:rFonts w:hint="eastAsia" w:ascii="宋体" w:hAnsi="宋体"/>
          <w:sz w:val="24"/>
        </w:rPr>
        <w:t>（五）投标人应保证其提交给招标人的资料和数据是真实的，并承担相应的法律责任。</w:t>
      </w:r>
    </w:p>
    <w:p>
      <w:pPr>
        <w:spacing w:line="560" w:lineRule="exact"/>
        <w:ind w:firstLine="480" w:firstLineChars="200"/>
        <w:rPr>
          <w:rFonts w:ascii="宋体" w:hAnsi="宋体"/>
          <w:sz w:val="24"/>
        </w:rPr>
      </w:pPr>
      <w:r>
        <w:rPr>
          <w:rFonts w:hint="eastAsia" w:ascii="宋体" w:hAnsi="宋体"/>
          <w:sz w:val="24"/>
        </w:rPr>
        <w:t>（六）投标人自行承担可能因资料遗漏、缺失等造成工作量估计不足的风险。</w:t>
      </w:r>
    </w:p>
    <w:p>
      <w:pPr>
        <w:spacing w:line="560" w:lineRule="exact"/>
        <w:ind w:firstLine="480" w:firstLineChars="200"/>
        <w:rPr>
          <w:rFonts w:ascii="宋体" w:hAnsi="宋体"/>
          <w:sz w:val="24"/>
        </w:rPr>
      </w:pPr>
      <w:r>
        <w:rPr>
          <w:rFonts w:hint="eastAsia" w:ascii="宋体" w:hAnsi="宋体"/>
          <w:sz w:val="24"/>
        </w:rPr>
        <w:t>（七）投标人应承担所有与编写和提交资格文件、投标文件有关的费用，不论投标的结果如何，招标人在任何情况下均无义务和责任承担这些费用。</w:t>
      </w:r>
    </w:p>
    <w:p>
      <w:pPr>
        <w:spacing w:line="560" w:lineRule="exact"/>
        <w:ind w:firstLine="480" w:firstLineChars="200"/>
        <w:rPr>
          <w:rFonts w:ascii="宋体" w:hAnsi="宋体"/>
          <w:sz w:val="24"/>
        </w:rPr>
      </w:pPr>
      <w:r>
        <w:rPr>
          <w:rFonts w:hint="eastAsia" w:ascii="宋体" w:hAnsi="宋体"/>
          <w:sz w:val="24"/>
        </w:rPr>
        <w:t>有关本次招标之相关事宜，可以向招标人查询。</w:t>
      </w:r>
    </w:p>
    <w:p>
      <w:pPr>
        <w:spacing w:line="560" w:lineRule="exact"/>
        <w:ind w:firstLine="480" w:firstLineChars="200"/>
        <w:rPr>
          <w:rFonts w:ascii="宋体" w:hAnsi="宋体"/>
          <w:sz w:val="24"/>
        </w:rPr>
      </w:pPr>
    </w:p>
    <w:p>
      <w:pPr>
        <w:spacing w:line="560" w:lineRule="exact"/>
        <w:ind w:firstLine="470" w:firstLineChars="196"/>
        <w:jc w:val="right"/>
        <w:rPr>
          <w:rFonts w:ascii="宋体" w:hAnsi="宋体"/>
          <w:sz w:val="24"/>
        </w:rPr>
      </w:pPr>
      <w:r>
        <w:rPr>
          <w:rFonts w:hint="eastAsia" w:ascii="宋体" w:hAnsi="宋体"/>
          <w:sz w:val="24"/>
        </w:rPr>
        <w:t xml:space="preserve">招标人：深圳市招生考试办公室     </w:t>
      </w:r>
    </w:p>
    <w:p>
      <w:pPr>
        <w:spacing w:line="560" w:lineRule="exact"/>
        <w:ind w:firstLine="480" w:firstLineChars="200"/>
        <w:jc w:val="right"/>
        <w:rPr>
          <w:rFonts w:ascii="宋体" w:hAnsi="宋体"/>
          <w:sz w:val="24"/>
        </w:rPr>
      </w:pPr>
      <w:r>
        <w:rPr>
          <w:rFonts w:hint="eastAsia" w:ascii="宋体" w:hAnsi="宋体"/>
          <w:sz w:val="24"/>
        </w:rPr>
        <w:t xml:space="preserve">联系人：成先生                </w:t>
      </w:r>
      <w:r>
        <w:rPr>
          <w:rFonts w:ascii="宋体" w:hAnsi="宋体"/>
          <w:sz w:val="24"/>
        </w:rPr>
        <w:t xml:space="preserve"> </w:t>
      </w:r>
      <w:r>
        <w:rPr>
          <w:rFonts w:hint="eastAsia" w:ascii="宋体" w:hAnsi="宋体"/>
          <w:sz w:val="24"/>
        </w:rPr>
        <w:t xml:space="preserve">  </w:t>
      </w:r>
    </w:p>
    <w:p>
      <w:pPr>
        <w:spacing w:line="560" w:lineRule="exact"/>
        <w:ind w:firstLine="480" w:firstLineChars="200"/>
        <w:jc w:val="right"/>
        <w:rPr>
          <w:rFonts w:ascii="宋体" w:hAnsi="宋体"/>
          <w:sz w:val="24"/>
        </w:rPr>
      </w:pPr>
      <w:r>
        <w:rPr>
          <w:rFonts w:hint="eastAsia" w:ascii="宋体" w:hAnsi="宋体"/>
          <w:sz w:val="24"/>
        </w:rPr>
        <w:t xml:space="preserve">电  话：0755-82176753 </w:t>
      </w:r>
    </w:p>
    <w:p>
      <w:pPr>
        <w:spacing w:line="560" w:lineRule="exact"/>
        <w:jc w:val="right"/>
        <w:rPr>
          <w:rFonts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20</w:t>
      </w:r>
      <w:r>
        <w:rPr>
          <w:rFonts w:hint="eastAsia" w:ascii="宋体" w:hAnsi="宋体"/>
          <w:sz w:val="24"/>
          <w:lang w:val="en-US" w:eastAsia="zh-CN"/>
        </w:rPr>
        <w:t>21</w:t>
      </w:r>
      <w:r>
        <w:rPr>
          <w:rFonts w:hint="eastAsia" w:ascii="宋体" w:hAnsi="宋体"/>
          <w:sz w:val="24"/>
        </w:rPr>
        <w:t>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7</w:t>
      </w:r>
      <w:r>
        <w:rPr>
          <w:rFonts w:hint="eastAsia" w:ascii="宋体" w:hAnsi="宋体"/>
          <w:sz w:val="24"/>
        </w:rPr>
        <w:t xml:space="preserve">日    </w:t>
      </w:r>
    </w:p>
    <w:p>
      <w:pPr>
        <w:spacing w:line="560" w:lineRule="exact"/>
        <w:ind w:firstLine="5640" w:firstLineChars="2350"/>
        <w:rPr>
          <w:rFonts w:ascii="宋体" w:hAnsi="宋体"/>
          <w:sz w:val="24"/>
        </w:rPr>
      </w:pPr>
    </w:p>
    <w:p>
      <w:pPr>
        <w:spacing w:line="560" w:lineRule="exact"/>
        <w:ind w:firstLine="5640" w:firstLineChars="2350"/>
        <w:rPr>
          <w:rFonts w:ascii="宋体" w:hAnsi="宋体"/>
          <w:sz w:val="24"/>
        </w:rPr>
      </w:pPr>
    </w:p>
    <w:p>
      <w:pPr>
        <w:spacing w:line="560" w:lineRule="exact"/>
        <w:rPr>
          <w:rFonts w:ascii="方正小标宋简体" w:eastAsia="方正小标宋简体"/>
          <w:sz w:val="44"/>
          <w:szCs w:val="44"/>
        </w:rPr>
        <w:sectPr>
          <w:headerReference r:id="rId3" w:type="default"/>
          <w:footerReference r:id="rId4" w:type="default"/>
          <w:footerReference r:id="rId5" w:type="even"/>
          <w:pgSz w:w="11906" w:h="16838"/>
          <w:pgMar w:top="1440" w:right="2006" w:bottom="1440" w:left="1620" w:header="851" w:footer="992" w:gutter="0"/>
          <w:cols w:space="425" w:num="1"/>
          <w:docGrid w:type="lines" w:linePitch="312" w:charSpace="0"/>
        </w:sectPr>
      </w:pPr>
    </w:p>
    <w:p>
      <w:pPr>
        <w:numPr>
          <w:ilvl w:val="0"/>
          <w:numId w:val="0"/>
        </w:numPr>
        <w:spacing w:line="560" w:lineRule="exact"/>
        <w:ind w:left="420" w:leftChars="0"/>
        <w:jc w:val="center"/>
        <w:rPr>
          <w:rFonts w:hint="eastAsia" w:asciiTheme="minorEastAsia" w:hAnsiTheme="minorEastAsia" w:eastAsiaTheme="minorEastAsia" w:cstheme="minorEastAsia"/>
          <w:b/>
          <w:bCs/>
          <w:sz w:val="40"/>
          <w:szCs w:val="40"/>
        </w:rPr>
      </w:pPr>
      <w:r>
        <w:rPr>
          <w:rFonts w:ascii="Helvetica" w:hAnsi="Helvetica" w:eastAsia="Helvetica" w:cs="Helvetica"/>
          <w:b/>
          <w:bCs/>
          <w:i w:val="0"/>
          <w:iCs w:val="0"/>
          <w:caps w:val="0"/>
          <w:color w:val="000000"/>
          <w:spacing w:val="0"/>
          <w:sz w:val="40"/>
          <w:szCs w:val="40"/>
        </w:rPr>
        <w:t>2022年研究生考试考生人脸识别入场设备租赁服务项目</w:t>
      </w:r>
      <w:r>
        <w:rPr>
          <w:rFonts w:hint="eastAsia" w:ascii="宋体" w:hAnsi="宋体"/>
          <w:b/>
          <w:bCs/>
          <w:sz w:val="40"/>
          <w:szCs w:val="40"/>
        </w:rPr>
        <w:t>需求说明书</w:t>
      </w:r>
    </w:p>
    <w:p>
      <w:pPr>
        <w:numPr>
          <w:ilvl w:val="0"/>
          <w:numId w:val="0"/>
        </w:numPr>
        <w:spacing w:line="560" w:lineRule="exact"/>
        <w:ind w:left="420" w:leftChars="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val="en-US" w:eastAsia="zh-CN"/>
        </w:rPr>
        <w:t>一、</w:t>
      </w:r>
      <w:r>
        <w:rPr>
          <w:rFonts w:hint="eastAsia" w:asciiTheme="minorEastAsia" w:hAnsiTheme="minorEastAsia" w:eastAsiaTheme="minorEastAsia" w:cstheme="minorEastAsia"/>
          <w:b/>
          <w:bCs/>
          <w:sz w:val="24"/>
        </w:rPr>
        <w:t>背景现状</w:t>
      </w:r>
    </w:p>
    <w:p>
      <w:pPr>
        <w:spacing w:line="360" w:lineRule="auto"/>
        <w:ind w:firstLine="420"/>
        <w:rPr>
          <w:rFonts w:ascii="宋体" w:hAnsi="宋体"/>
          <w:sz w:val="24"/>
          <w:highlight w:val="none"/>
        </w:rPr>
      </w:pPr>
      <w:r>
        <w:rPr>
          <w:rFonts w:hint="eastAsia" w:ascii="宋体" w:hAnsi="宋体"/>
          <w:sz w:val="24"/>
        </w:rPr>
        <w:t>当前国家教育考试面临的安全形势依然严峻，一方面高考等国家教育考试规模大、组织与管理难度不断增加；另一方面社会不良风气对国家教育考试的干扰较大，诚信体系尚不健全，一些不法分子利用高科技手段作弊已呈集团化、专业化、规模化并有蔓延之势，严重危害国家教育考试的公平、公正和公信。同时，现有教育考试管理主要依靠行政管理手段，而信息技术手段比较落后，缺乏对传统管理和工作模式弊端的</w:t>
      </w:r>
      <w:r>
        <w:rPr>
          <w:rFonts w:hint="eastAsia" w:ascii="宋体" w:hAnsi="宋体"/>
          <w:sz w:val="24"/>
          <w:highlight w:val="none"/>
        </w:rPr>
        <w:t>有效补充和支撑。</w:t>
      </w:r>
    </w:p>
    <w:p>
      <w:pPr>
        <w:spacing w:line="360" w:lineRule="auto"/>
        <w:ind w:firstLine="420"/>
        <w:rPr>
          <w:rFonts w:ascii="宋体" w:hAnsi="宋体"/>
          <w:sz w:val="24"/>
        </w:rPr>
      </w:pPr>
      <w:r>
        <w:rPr>
          <w:rFonts w:hint="eastAsia" w:ascii="宋体" w:hAnsi="宋体"/>
          <w:sz w:val="24"/>
          <w:highlight w:val="none"/>
        </w:rPr>
        <w:t>202</w:t>
      </w:r>
      <w:r>
        <w:rPr>
          <w:rFonts w:hint="eastAsia" w:ascii="宋体" w:hAnsi="宋体"/>
          <w:sz w:val="24"/>
          <w:highlight w:val="none"/>
          <w:lang w:val="en-US" w:eastAsia="zh-CN"/>
        </w:rPr>
        <w:t>2</w:t>
      </w:r>
      <w:r>
        <w:rPr>
          <w:rFonts w:hint="eastAsia" w:ascii="宋体" w:hAnsi="宋体"/>
          <w:sz w:val="24"/>
          <w:highlight w:val="none"/>
        </w:rPr>
        <w:t>年深圳市研究生考试考</w:t>
      </w:r>
      <w:r>
        <w:rPr>
          <w:rFonts w:hint="eastAsia" w:ascii="宋体" w:hAnsi="宋体"/>
          <w:sz w:val="24"/>
        </w:rPr>
        <w:t>生进场需要采用考场模式进行验证，本次项目需要供应商针对研究生考试各个考点提供身份验证设备与技术支持服务。</w:t>
      </w:r>
    </w:p>
    <w:p>
      <w:pPr>
        <w:spacing w:line="360" w:lineRule="auto"/>
        <w:ind w:firstLine="420"/>
        <w:rPr>
          <w:rFonts w:ascii="宋体" w:hAnsi="宋体"/>
          <w:sz w:val="24"/>
        </w:rPr>
      </w:pPr>
      <w:r>
        <w:rPr>
          <w:rFonts w:hint="eastAsia" w:ascii="宋体" w:hAnsi="宋体"/>
          <w:sz w:val="24"/>
        </w:rPr>
        <w:t>本次项目需要的设备数量如下：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829"/>
        <w:gridCol w:w="2033"/>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840" w:type="dxa"/>
            <w:vAlign w:val="center"/>
          </w:tcPr>
          <w:p>
            <w:pPr>
              <w:pStyle w:val="11"/>
              <w:snapToGrid w:val="0"/>
              <w:spacing w:line="360" w:lineRule="auto"/>
              <w:jc w:val="center"/>
              <w:rPr>
                <w:rFonts w:hAnsi="宋体"/>
                <w:sz w:val="24"/>
                <w:szCs w:val="24"/>
              </w:rPr>
            </w:pPr>
            <w:r>
              <w:rPr>
                <w:rFonts w:hint="eastAsia" w:hAnsi="宋体"/>
                <w:sz w:val="24"/>
                <w:szCs w:val="24"/>
                <w:lang w:val="en-US"/>
              </w:rPr>
              <w:t>设备名称</w:t>
            </w:r>
          </w:p>
        </w:tc>
        <w:tc>
          <w:tcPr>
            <w:tcW w:w="829" w:type="dxa"/>
            <w:vAlign w:val="center"/>
          </w:tcPr>
          <w:p>
            <w:pPr>
              <w:pStyle w:val="11"/>
              <w:snapToGrid w:val="0"/>
              <w:spacing w:line="360" w:lineRule="auto"/>
              <w:jc w:val="center"/>
              <w:rPr>
                <w:rFonts w:hAnsi="宋体"/>
                <w:sz w:val="24"/>
                <w:szCs w:val="24"/>
              </w:rPr>
            </w:pPr>
            <w:r>
              <w:rPr>
                <w:rFonts w:hint="eastAsia" w:hAnsi="宋体"/>
                <w:sz w:val="24"/>
                <w:szCs w:val="24"/>
                <w:lang w:val="en-US"/>
              </w:rPr>
              <w:t>单位</w:t>
            </w:r>
          </w:p>
        </w:tc>
        <w:tc>
          <w:tcPr>
            <w:tcW w:w="2033" w:type="dxa"/>
            <w:vAlign w:val="center"/>
          </w:tcPr>
          <w:p>
            <w:pPr>
              <w:pStyle w:val="11"/>
              <w:snapToGrid w:val="0"/>
              <w:spacing w:line="360" w:lineRule="auto"/>
              <w:jc w:val="center"/>
              <w:rPr>
                <w:rFonts w:hAnsi="宋体"/>
                <w:sz w:val="24"/>
                <w:szCs w:val="24"/>
              </w:rPr>
            </w:pPr>
            <w:r>
              <w:rPr>
                <w:rFonts w:hint="eastAsia" w:hAnsi="宋体"/>
                <w:sz w:val="24"/>
                <w:szCs w:val="24"/>
                <w:lang w:val="en-US"/>
              </w:rPr>
              <w:t>需求数量</w:t>
            </w:r>
          </w:p>
        </w:tc>
        <w:tc>
          <w:tcPr>
            <w:tcW w:w="2033" w:type="dxa"/>
            <w:vAlign w:val="center"/>
          </w:tcPr>
          <w:p>
            <w:pPr>
              <w:pStyle w:val="11"/>
              <w:snapToGrid w:val="0"/>
              <w:spacing w:line="360" w:lineRule="auto"/>
              <w:jc w:val="center"/>
              <w:rPr>
                <w:rFonts w:hAnsi="宋体"/>
                <w:sz w:val="24"/>
                <w:szCs w:val="24"/>
              </w:rPr>
            </w:pPr>
            <w:r>
              <w:rPr>
                <w:rFonts w:hint="eastAsia" w:hAnsi="宋体"/>
                <w:sz w:val="24"/>
                <w:szCs w:val="24"/>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pStyle w:val="11"/>
              <w:snapToGrid w:val="0"/>
              <w:spacing w:line="360" w:lineRule="auto"/>
              <w:jc w:val="center"/>
              <w:rPr>
                <w:rFonts w:hAnsi="宋体"/>
                <w:sz w:val="24"/>
                <w:szCs w:val="24"/>
              </w:rPr>
            </w:pPr>
            <w:r>
              <w:rPr>
                <w:rFonts w:hint="eastAsia" w:hAnsi="宋体"/>
                <w:sz w:val="24"/>
                <w:szCs w:val="24"/>
                <w:lang w:val="en-US"/>
              </w:rPr>
              <w:t>身份验证终端</w:t>
            </w:r>
          </w:p>
        </w:tc>
        <w:tc>
          <w:tcPr>
            <w:tcW w:w="829" w:type="dxa"/>
            <w:vAlign w:val="center"/>
          </w:tcPr>
          <w:p>
            <w:pPr>
              <w:pStyle w:val="11"/>
              <w:snapToGrid w:val="0"/>
              <w:spacing w:line="360" w:lineRule="auto"/>
              <w:jc w:val="center"/>
              <w:rPr>
                <w:rFonts w:hAnsi="宋体"/>
                <w:sz w:val="24"/>
                <w:szCs w:val="24"/>
              </w:rPr>
            </w:pPr>
            <w:r>
              <w:rPr>
                <w:rFonts w:hint="eastAsia" w:hAnsi="宋体"/>
                <w:sz w:val="24"/>
                <w:szCs w:val="24"/>
                <w:lang w:val="en-US"/>
              </w:rPr>
              <w:t>台</w:t>
            </w:r>
          </w:p>
        </w:tc>
        <w:tc>
          <w:tcPr>
            <w:tcW w:w="2033" w:type="dxa"/>
            <w:vAlign w:val="center"/>
          </w:tcPr>
          <w:p>
            <w:pPr>
              <w:pStyle w:val="11"/>
              <w:snapToGrid w:val="0"/>
              <w:spacing w:line="360" w:lineRule="auto"/>
              <w:jc w:val="center"/>
              <w:rPr>
                <w:rFonts w:hAnsi="宋体"/>
                <w:sz w:val="24"/>
                <w:szCs w:val="24"/>
              </w:rPr>
            </w:pPr>
            <w:r>
              <w:rPr>
                <w:rFonts w:hint="eastAsia" w:hAnsi="宋体"/>
                <w:sz w:val="24"/>
                <w:szCs w:val="24"/>
              </w:rPr>
              <w:t>1</w:t>
            </w:r>
            <w:r>
              <w:rPr>
                <w:rFonts w:hAnsi="宋体"/>
                <w:sz w:val="24"/>
                <w:szCs w:val="24"/>
              </w:rPr>
              <w:t>500</w:t>
            </w:r>
          </w:p>
        </w:tc>
        <w:tc>
          <w:tcPr>
            <w:tcW w:w="2033" w:type="dxa"/>
          </w:tcPr>
          <w:p>
            <w:pPr>
              <w:pStyle w:val="11"/>
              <w:snapToGrid w:val="0"/>
              <w:spacing w:line="360" w:lineRule="auto"/>
              <w:rPr>
                <w:rFonts w:hAnsi="宋体"/>
                <w:sz w:val="24"/>
                <w:szCs w:val="24"/>
              </w:rPr>
            </w:pPr>
            <w:r>
              <w:rPr>
                <w:rFonts w:hint="eastAsia" w:hAnsi="宋体"/>
                <w:sz w:val="24"/>
                <w:szCs w:val="24"/>
                <w:lang w:val="en-US"/>
              </w:rPr>
              <w:t>含技术支持、培训、人员服务、设备收发等</w:t>
            </w:r>
          </w:p>
        </w:tc>
      </w:tr>
    </w:tbl>
    <w:p>
      <w:pPr>
        <w:numPr>
          <w:ilvl w:val="0"/>
          <w:numId w:val="0"/>
        </w:numPr>
        <w:spacing w:line="560" w:lineRule="exact"/>
        <w:ind w:left="420" w:leftChars="0"/>
      </w:pPr>
      <w:r>
        <w:rPr>
          <w:rFonts w:hint="eastAsia" w:ascii="宋体" w:hAnsi="宋体"/>
          <w:b/>
          <w:bCs/>
          <w:sz w:val="24"/>
          <w:lang w:val="en-US" w:eastAsia="zh-CN"/>
        </w:rPr>
        <w:t>二、</w:t>
      </w:r>
      <w:r>
        <w:rPr>
          <w:rFonts w:hint="eastAsia" w:ascii="宋体" w:hAnsi="宋体"/>
          <w:b/>
          <w:bCs/>
          <w:sz w:val="24"/>
          <w:lang w:val="zh-CN"/>
        </w:rPr>
        <w:t>项目目标</w:t>
      </w:r>
    </w:p>
    <w:p>
      <w:pPr>
        <w:pStyle w:val="38"/>
        <w:numPr>
          <w:ilvl w:val="0"/>
          <w:numId w:val="0"/>
        </w:numPr>
        <w:spacing w:line="560" w:lineRule="exact"/>
        <w:ind w:firstLine="480" w:firstLineChars="200"/>
        <w:rPr>
          <w:rFonts w:hAnsi="宋体"/>
          <w:sz w:val="24"/>
        </w:rPr>
      </w:pPr>
      <w:r>
        <w:rPr>
          <w:rFonts w:hint="eastAsia" w:hAnsi="宋体"/>
          <w:sz w:val="24"/>
        </w:rPr>
        <w:t>采用一体式集成化身份验证设备，完成考生身份证信息阅读、身份证真伪识别，采集考生现场人脸生物信息与报名照片进行比对，从而确认考生身份，防范作弊替考、确保研究生考试公平公正。</w:t>
      </w:r>
    </w:p>
    <w:p>
      <w:pPr>
        <w:numPr>
          <w:ilvl w:val="0"/>
          <w:numId w:val="0"/>
        </w:numPr>
        <w:spacing w:line="560" w:lineRule="exact"/>
        <w:ind w:left="420" w:leftChars="0"/>
        <w:rPr>
          <w:rFonts w:ascii="宋体" w:hAnsi="宋体"/>
          <w:b/>
          <w:bCs/>
          <w:sz w:val="24"/>
        </w:rPr>
      </w:pPr>
      <w:r>
        <w:rPr>
          <w:rFonts w:hint="eastAsia" w:ascii="宋体" w:hAnsi="宋体"/>
          <w:b/>
          <w:bCs/>
          <w:sz w:val="24"/>
          <w:lang w:val="en-US" w:eastAsia="zh-CN"/>
        </w:rPr>
        <w:t>三、</w:t>
      </w:r>
      <w:r>
        <w:rPr>
          <w:rFonts w:hint="eastAsia" w:ascii="宋体" w:hAnsi="宋体"/>
          <w:b/>
          <w:bCs/>
          <w:sz w:val="24"/>
        </w:rPr>
        <w:t>项目服务要求</w:t>
      </w:r>
    </w:p>
    <w:p>
      <w:pPr>
        <w:pStyle w:val="38"/>
        <w:numPr>
          <w:ilvl w:val="0"/>
          <w:numId w:val="0"/>
        </w:numPr>
        <w:spacing w:line="560" w:lineRule="exact"/>
        <w:ind w:firstLine="480" w:firstLineChars="200"/>
        <w:rPr>
          <w:rFonts w:hAnsi="宋体"/>
          <w:kern w:val="2"/>
          <w:sz w:val="24"/>
          <w:szCs w:val="24"/>
        </w:rPr>
      </w:pPr>
      <w:r>
        <w:rPr>
          <w:rFonts w:hint="eastAsia" w:hAnsi="宋体"/>
          <w:kern w:val="2"/>
          <w:sz w:val="24"/>
          <w:szCs w:val="24"/>
        </w:rPr>
        <w:t>供应商在本次租赁服务中主要提供身份验证终端设备</w:t>
      </w:r>
      <w:r>
        <w:rPr>
          <w:rFonts w:hint="eastAsia" w:hAnsi="宋体"/>
          <w:kern w:val="2"/>
          <w:sz w:val="24"/>
          <w:szCs w:val="24"/>
          <w:lang w:eastAsia="zh-CN"/>
        </w:rPr>
        <w:t>，</w:t>
      </w:r>
      <w:bookmarkStart w:id="14" w:name="_GoBack"/>
      <w:bookmarkEnd w:id="14"/>
      <w:r>
        <w:rPr>
          <w:rFonts w:hint="eastAsia" w:hAnsi="宋体"/>
          <w:kern w:val="2"/>
          <w:sz w:val="24"/>
          <w:szCs w:val="24"/>
        </w:rPr>
        <w:t>以及相关的技术支持服务。</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6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pPr>
              <w:pStyle w:val="11"/>
              <w:snapToGrid w:val="0"/>
              <w:jc w:val="center"/>
              <w:rPr>
                <w:rFonts w:ascii="仿宋" w:hAnsi="仿宋" w:eastAsia="仿宋"/>
                <w:sz w:val="24"/>
                <w:szCs w:val="24"/>
              </w:rPr>
            </w:pPr>
            <w:r>
              <w:rPr>
                <w:rFonts w:hint="eastAsia" w:ascii="仿宋" w:hAnsi="仿宋" w:eastAsia="仿宋"/>
                <w:sz w:val="24"/>
                <w:szCs w:val="24"/>
                <w:lang w:val="en-US"/>
              </w:rPr>
              <w:t>服务内容</w:t>
            </w:r>
          </w:p>
        </w:tc>
        <w:tc>
          <w:tcPr>
            <w:tcW w:w="6854" w:type="dxa"/>
            <w:vAlign w:val="center"/>
          </w:tcPr>
          <w:p>
            <w:pPr>
              <w:pStyle w:val="11"/>
              <w:snapToGrid w:val="0"/>
              <w:jc w:val="center"/>
              <w:rPr>
                <w:rFonts w:ascii="仿宋" w:hAnsi="仿宋" w:eastAsia="仿宋"/>
                <w:sz w:val="24"/>
                <w:szCs w:val="24"/>
              </w:rPr>
            </w:pPr>
            <w:r>
              <w:rPr>
                <w:rFonts w:hint="eastAsia" w:ascii="仿宋" w:hAnsi="仿宋" w:eastAsia="仿宋"/>
                <w:sz w:val="24"/>
                <w:szCs w:val="24"/>
                <w:lang w:val="en-US"/>
              </w:rPr>
              <w:t>服务</w:t>
            </w:r>
            <w:r>
              <w:rPr>
                <w:rFonts w:ascii="仿宋" w:hAnsi="仿宋" w:eastAsia="仿宋"/>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pStyle w:val="11"/>
              <w:snapToGrid w:val="0"/>
              <w:spacing w:line="360" w:lineRule="auto"/>
              <w:jc w:val="center"/>
              <w:rPr>
                <w:rFonts w:ascii="仿宋" w:hAnsi="仿宋" w:eastAsia="仿宋"/>
                <w:sz w:val="24"/>
                <w:szCs w:val="24"/>
              </w:rPr>
            </w:pPr>
            <w:r>
              <w:rPr>
                <w:rFonts w:ascii="仿宋" w:hAnsi="仿宋" w:eastAsia="仿宋"/>
                <w:sz w:val="24"/>
                <w:szCs w:val="24"/>
              </w:rPr>
              <w:t>身份验证终端</w:t>
            </w:r>
          </w:p>
        </w:tc>
        <w:tc>
          <w:tcPr>
            <w:tcW w:w="6854" w:type="dxa"/>
          </w:tcPr>
          <w:p>
            <w:pPr>
              <w:widowControl/>
              <w:spacing w:line="360" w:lineRule="auto"/>
              <w:jc w:val="left"/>
              <w:textAlignment w:val="center"/>
              <w:rPr>
                <w:rFonts w:ascii="仿宋" w:hAnsi="仿宋" w:eastAsia="仿宋"/>
                <w:color w:val="000000"/>
                <w:kern w:val="0"/>
                <w:sz w:val="24"/>
                <w:lang w:bidi="ar"/>
              </w:rPr>
            </w:pPr>
            <w:r>
              <w:rPr>
                <w:rFonts w:hint="eastAsia" w:ascii="仿宋" w:hAnsi="仿宋" w:eastAsia="仿宋"/>
                <w:color w:val="000000"/>
                <w:kern w:val="0"/>
                <w:sz w:val="24"/>
                <w:lang w:bidi="ar"/>
              </w:rPr>
              <w:t>1.设备应具有良好的操作性，整个操作流程具有语音操作提示，内置声光语音提示刷卡、拍照以及是否通过验证；设备即支持正面刷卡，也支持背面刷卡；</w:t>
            </w:r>
          </w:p>
          <w:p>
            <w:pPr>
              <w:widowControl/>
              <w:spacing w:line="360" w:lineRule="auto"/>
              <w:jc w:val="left"/>
              <w:textAlignment w:val="center"/>
              <w:rPr>
                <w:rFonts w:ascii="仿宋" w:hAnsi="仿宋" w:eastAsia="仿宋"/>
                <w:color w:val="000000"/>
                <w:kern w:val="0"/>
                <w:sz w:val="24"/>
                <w:lang w:bidi="ar"/>
              </w:rPr>
            </w:pPr>
            <w:r>
              <w:rPr>
                <w:rFonts w:hint="eastAsia" w:ascii="仿宋" w:hAnsi="仿宋" w:eastAsia="仿宋"/>
                <w:color w:val="000000"/>
                <w:kern w:val="0"/>
                <w:sz w:val="24"/>
                <w:lang w:bidi="ar"/>
              </w:rPr>
              <w:t>2.电池容量≥6000毫安；处理器4核，2G内存,8G存储空间，可通过TF卡扩展；≥8英寸IPS硬屏，屏幕分辨率≥1280x720；</w:t>
            </w:r>
          </w:p>
          <w:p>
            <w:pPr>
              <w:widowControl/>
              <w:spacing w:line="360" w:lineRule="auto"/>
              <w:jc w:val="left"/>
              <w:textAlignment w:val="center"/>
              <w:rPr>
                <w:rFonts w:ascii="仿宋" w:hAnsi="仿宋" w:eastAsia="仿宋"/>
                <w:color w:val="000000"/>
                <w:kern w:val="0"/>
                <w:sz w:val="24"/>
                <w:lang w:bidi="ar"/>
              </w:rPr>
            </w:pPr>
            <w:r>
              <w:rPr>
                <w:rFonts w:hint="eastAsia" w:ascii="仿宋" w:hAnsi="仿宋" w:eastAsia="仿宋"/>
                <w:color w:val="000000"/>
                <w:kern w:val="0"/>
                <w:sz w:val="24"/>
                <w:lang w:bidi="ar"/>
              </w:rPr>
              <w:t>3.内置≥1个USB接口，具备RJ45网口、具备TF扩充卡槽，具备Micro HDMI接口。</w:t>
            </w:r>
          </w:p>
          <w:p>
            <w:pPr>
              <w:widowControl/>
              <w:spacing w:line="360" w:lineRule="auto"/>
              <w:jc w:val="left"/>
              <w:textAlignment w:val="center"/>
              <w:rPr>
                <w:rFonts w:ascii="仿宋" w:hAnsi="仿宋" w:eastAsia="仿宋"/>
                <w:color w:val="000000"/>
                <w:kern w:val="0"/>
                <w:sz w:val="24"/>
                <w:lang w:bidi="ar"/>
              </w:rPr>
            </w:pPr>
            <w:r>
              <w:rPr>
                <w:rFonts w:hint="eastAsia" w:ascii="仿宋" w:hAnsi="仿宋" w:eastAsia="仿宋"/>
                <w:color w:val="000000"/>
                <w:kern w:val="0"/>
                <w:sz w:val="24"/>
                <w:lang w:bidi="ar"/>
              </w:rPr>
              <w:t>4.由居民身份证阅读模块、人脸识别模块，一体化封装、无需外接任何设备即可独立完成验证工作。</w:t>
            </w:r>
          </w:p>
          <w:p>
            <w:pPr>
              <w:widowControl/>
              <w:spacing w:line="360" w:lineRule="auto"/>
              <w:jc w:val="left"/>
              <w:textAlignment w:val="center"/>
              <w:rPr>
                <w:rFonts w:ascii="仿宋" w:hAnsi="仿宋" w:eastAsia="仿宋"/>
                <w:color w:val="000000"/>
                <w:kern w:val="0"/>
                <w:sz w:val="24"/>
                <w:lang w:bidi="ar"/>
              </w:rPr>
            </w:pPr>
            <w:r>
              <w:rPr>
                <w:rFonts w:hint="eastAsia" w:ascii="仿宋" w:hAnsi="仿宋" w:eastAsia="仿宋"/>
                <w:color w:val="000000"/>
                <w:kern w:val="0"/>
                <w:sz w:val="24"/>
                <w:lang w:bidi="ar"/>
              </w:rPr>
              <w:t>5.支持身份证效验，可同时显示考生报名照片和现场照片，由系统或者监考老师进行比对，语音提示比对结果。</w:t>
            </w:r>
          </w:p>
          <w:p>
            <w:pPr>
              <w:widowControl/>
              <w:spacing w:line="360" w:lineRule="auto"/>
              <w:jc w:val="left"/>
              <w:textAlignment w:val="center"/>
              <w:rPr>
                <w:rFonts w:ascii="仿宋" w:hAnsi="仿宋" w:eastAsia="仿宋"/>
                <w:color w:val="000000"/>
                <w:kern w:val="0"/>
                <w:sz w:val="24"/>
                <w:lang w:bidi="ar"/>
              </w:rPr>
            </w:pPr>
            <w:r>
              <w:rPr>
                <w:rFonts w:hint="eastAsia" w:ascii="仿宋" w:hAnsi="仿宋" w:eastAsia="仿宋"/>
                <w:color w:val="000000"/>
                <w:kern w:val="0"/>
                <w:sz w:val="24"/>
                <w:lang w:bidi="ar"/>
              </w:rPr>
              <w:t>6.身份证读取区均采用正面前置设计，身份证读卡区有显著图文标识。</w:t>
            </w:r>
          </w:p>
          <w:p>
            <w:pPr>
              <w:widowControl/>
              <w:spacing w:line="360" w:lineRule="auto"/>
              <w:jc w:val="left"/>
              <w:textAlignment w:val="center"/>
              <w:rPr>
                <w:rFonts w:ascii="仿宋" w:hAnsi="仿宋" w:eastAsia="仿宋"/>
                <w:color w:val="000000"/>
                <w:kern w:val="0"/>
                <w:sz w:val="24"/>
                <w:lang w:bidi="ar"/>
              </w:rPr>
            </w:pPr>
            <w:r>
              <w:rPr>
                <w:rFonts w:hint="eastAsia" w:ascii="仿宋" w:hAnsi="仿宋" w:eastAsia="仿宋"/>
                <w:color w:val="000000"/>
                <w:kern w:val="0"/>
                <w:sz w:val="24"/>
                <w:lang w:bidi="ar"/>
              </w:rPr>
              <w:t>7. ▲支持考生和验证数据通过介质和网络（有线和WIFI）导入、导出和实时上传；</w:t>
            </w:r>
          </w:p>
          <w:p>
            <w:pPr>
              <w:widowControl/>
              <w:spacing w:line="360" w:lineRule="auto"/>
              <w:jc w:val="left"/>
              <w:textAlignment w:val="center"/>
              <w:rPr>
                <w:rFonts w:ascii="仿宋" w:hAnsi="仿宋" w:eastAsia="仿宋"/>
                <w:color w:val="000000"/>
                <w:kern w:val="0"/>
                <w:sz w:val="24"/>
                <w:lang w:bidi="ar"/>
              </w:rPr>
            </w:pPr>
            <w:r>
              <w:rPr>
                <w:rFonts w:hint="eastAsia" w:ascii="仿宋" w:hAnsi="仿宋" w:eastAsia="仿宋"/>
                <w:color w:val="000000"/>
                <w:kern w:val="0"/>
                <w:sz w:val="24"/>
                <w:lang w:bidi="ar"/>
              </w:rPr>
              <w:t>8.身份验证终端验证过程中，应具有语音或文字的指导性提示。</w:t>
            </w:r>
          </w:p>
          <w:p>
            <w:pPr>
              <w:widowControl/>
              <w:spacing w:line="360" w:lineRule="auto"/>
              <w:jc w:val="left"/>
              <w:textAlignment w:val="center"/>
              <w:rPr>
                <w:rFonts w:ascii="仿宋" w:hAnsi="仿宋" w:eastAsia="仿宋"/>
                <w:color w:val="000000"/>
                <w:kern w:val="0"/>
                <w:sz w:val="24"/>
                <w:lang w:bidi="ar"/>
              </w:rPr>
            </w:pPr>
            <w:r>
              <w:rPr>
                <w:rFonts w:hint="eastAsia" w:ascii="仿宋" w:hAnsi="仿宋" w:eastAsia="仿宋"/>
                <w:color w:val="000000"/>
                <w:kern w:val="0"/>
                <w:sz w:val="24"/>
                <w:lang w:bidi="ar"/>
              </w:rPr>
              <w:t>9.▲支持TTS技术，可实现对考生的精准确认。</w:t>
            </w:r>
          </w:p>
          <w:p>
            <w:pPr>
              <w:widowControl/>
              <w:spacing w:line="360" w:lineRule="auto"/>
              <w:jc w:val="left"/>
              <w:textAlignment w:val="center"/>
              <w:rPr>
                <w:rFonts w:ascii="仿宋" w:hAnsi="仿宋" w:eastAsia="仿宋"/>
                <w:color w:val="000000"/>
                <w:kern w:val="0"/>
                <w:sz w:val="24"/>
                <w:lang w:bidi="ar"/>
              </w:rPr>
            </w:pPr>
            <w:r>
              <w:rPr>
                <w:rFonts w:hint="eastAsia" w:ascii="仿宋" w:hAnsi="仿宋" w:eastAsia="仿宋"/>
                <w:color w:val="000000"/>
                <w:kern w:val="0"/>
                <w:sz w:val="24"/>
                <w:lang w:bidi="ar"/>
              </w:rPr>
              <w:t>10.设备具有数据查询功能，通过授权帐号，可进入系统查询界面，查询考生的验证情况（通过、未通过、缺考等），整个考生数据在设备断电下，不会丢失。</w:t>
            </w:r>
          </w:p>
          <w:p>
            <w:pPr>
              <w:widowControl/>
              <w:spacing w:line="360" w:lineRule="auto"/>
              <w:jc w:val="left"/>
              <w:textAlignment w:val="center"/>
              <w:rPr>
                <w:rFonts w:ascii="仿宋" w:hAnsi="仿宋" w:eastAsia="仿宋"/>
                <w:color w:val="000000"/>
                <w:kern w:val="0"/>
                <w:sz w:val="24"/>
                <w:lang w:bidi="ar"/>
              </w:rPr>
            </w:pPr>
            <w:r>
              <w:rPr>
                <w:rFonts w:hint="eastAsia" w:ascii="仿宋" w:hAnsi="仿宋" w:eastAsia="仿宋"/>
                <w:color w:val="000000"/>
                <w:kern w:val="0"/>
                <w:sz w:val="24"/>
                <w:lang w:bidi="ar"/>
              </w:rPr>
              <w:t>11. ▲前、后置500万像素摄像头，可切换，便于多种情景下由监考老师拍照或考生自拍。</w:t>
            </w:r>
          </w:p>
          <w:p>
            <w:pPr>
              <w:widowControl/>
              <w:spacing w:line="360" w:lineRule="auto"/>
              <w:jc w:val="left"/>
              <w:textAlignment w:val="center"/>
              <w:rPr>
                <w:rFonts w:ascii="仿宋" w:hAnsi="仿宋" w:eastAsia="仿宋"/>
                <w:color w:val="000000"/>
                <w:kern w:val="0"/>
                <w:sz w:val="24"/>
                <w:lang w:bidi="ar"/>
              </w:rPr>
            </w:pPr>
            <w:r>
              <w:rPr>
                <w:rFonts w:hint="eastAsia" w:ascii="仿宋" w:hAnsi="仿宋" w:eastAsia="仿宋"/>
                <w:color w:val="000000"/>
                <w:kern w:val="0"/>
                <w:sz w:val="24"/>
                <w:lang w:bidi="ar"/>
              </w:rPr>
              <w:t>12.对考生人脸图像进行质量判断，对不合格的图像自动提示，自动重采。包括人脸数量、模糊情况、正脸情况、头部情况、高光、眼睛睁闭、眼睛注视镜头等。</w:t>
            </w:r>
          </w:p>
          <w:p>
            <w:pPr>
              <w:widowControl/>
              <w:spacing w:line="360" w:lineRule="auto"/>
              <w:jc w:val="left"/>
              <w:textAlignment w:val="center"/>
              <w:rPr>
                <w:rFonts w:ascii="仿宋" w:hAnsi="仿宋" w:eastAsia="仿宋"/>
                <w:color w:val="000000"/>
                <w:kern w:val="0"/>
                <w:sz w:val="24"/>
                <w:lang w:bidi="ar"/>
              </w:rPr>
            </w:pPr>
            <w:r>
              <w:rPr>
                <w:rFonts w:hint="eastAsia" w:ascii="仿宋" w:hAnsi="仿宋" w:eastAsia="仿宋"/>
                <w:color w:val="000000"/>
                <w:kern w:val="0"/>
                <w:sz w:val="24"/>
                <w:lang w:bidi="ar"/>
              </w:rPr>
              <w:t>13.▲支持系统平台统一设置验证设备验证流程，验证设备可按照预设的流程自动工作，不需额外操作。</w:t>
            </w:r>
          </w:p>
          <w:p>
            <w:pPr>
              <w:widowControl/>
              <w:spacing w:line="360" w:lineRule="auto"/>
              <w:jc w:val="left"/>
              <w:textAlignment w:val="center"/>
              <w:rPr>
                <w:rFonts w:ascii="仿宋" w:hAnsi="仿宋" w:eastAsia="仿宋"/>
                <w:color w:val="000000"/>
                <w:kern w:val="0"/>
                <w:sz w:val="24"/>
                <w:lang w:bidi="ar"/>
              </w:rPr>
            </w:pPr>
            <w:r>
              <w:rPr>
                <w:rFonts w:hint="eastAsia" w:ascii="仿宋" w:hAnsi="仿宋" w:eastAsia="仿宋"/>
                <w:color w:val="000000"/>
                <w:kern w:val="0"/>
                <w:sz w:val="24"/>
                <w:lang w:bidi="ar"/>
              </w:rPr>
              <w:t>14.身份验证终端具备时间同步功能，可以实现与网络时间同步或者与上级服务器时间同步。</w:t>
            </w:r>
          </w:p>
          <w:p>
            <w:pPr>
              <w:widowControl/>
              <w:spacing w:line="360" w:lineRule="auto"/>
              <w:jc w:val="left"/>
              <w:textAlignment w:val="center"/>
              <w:rPr>
                <w:rFonts w:ascii="仿宋" w:hAnsi="仿宋" w:eastAsia="仿宋"/>
                <w:color w:val="000000"/>
                <w:kern w:val="0"/>
                <w:sz w:val="24"/>
                <w:lang w:bidi="ar"/>
              </w:rPr>
            </w:pPr>
            <w:r>
              <w:rPr>
                <w:rFonts w:hint="eastAsia" w:ascii="仿宋" w:hAnsi="仿宋" w:eastAsia="仿宋"/>
                <w:color w:val="000000"/>
                <w:kern w:val="0"/>
                <w:sz w:val="24"/>
                <w:lang w:bidi="ar"/>
              </w:rPr>
              <w:t>15.▲可通过刷身份证调取考生信息进行验证，在没有身份证或身份证消磁的情况下，应可通过输入身份证号、考号或点击界面座次图上的座位号快速获取到考生信息进入验证。</w:t>
            </w:r>
          </w:p>
          <w:p>
            <w:pPr>
              <w:widowControl/>
              <w:spacing w:line="360" w:lineRule="auto"/>
              <w:jc w:val="left"/>
              <w:textAlignment w:val="center"/>
              <w:rPr>
                <w:rFonts w:ascii="仿宋" w:hAnsi="仿宋" w:eastAsia="仿宋"/>
                <w:color w:val="000000"/>
                <w:kern w:val="0"/>
                <w:sz w:val="24"/>
                <w:lang w:bidi="ar"/>
              </w:rPr>
            </w:pPr>
            <w:r>
              <w:rPr>
                <w:rFonts w:hint="eastAsia" w:ascii="仿宋" w:hAnsi="仿宋" w:eastAsia="仿宋"/>
                <w:color w:val="000000"/>
                <w:kern w:val="0"/>
                <w:sz w:val="24"/>
                <w:lang w:bidi="ar"/>
              </w:rPr>
              <w:t>16.▲内置多种验证流程，可根据不同考试组织形式自动选用适合的验证流程，无需人工操作。</w:t>
            </w:r>
          </w:p>
          <w:p>
            <w:pPr>
              <w:widowControl/>
              <w:spacing w:line="360" w:lineRule="auto"/>
              <w:jc w:val="left"/>
              <w:textAlignment w:val="center"/>
              <w:rPr>
                <w:rFonts w:ascii="仿宋" w:hAnsi="仿宋" w:eastAsia="仿宋"/>
                <w:color w:val="000000"/>
                <w:kern w:val="0"/>
                <w:sz w:val="24"/>
                <w:lang w:bidi="ar"/>
              </w:rPr>
            </w:pPr>
            <w:r>
              <w:rPr>
                <w:rFonts w:hint="eastAsia" w:ascii="仿宋" w:hAnsi="仿宋" w:eastAsia="仿宋"/>
                <w:color w:val="000000"/>
                <w:kern w:val="0"/>
                <w:sz w:val="24"/>
                <w:lang w:bidi="ar"/>
              </w:rPr>
              <w:t>17.具备节能策略，延长设备使用时间。</w:t>
            </w:r>
          </w:p>
          <w:p>
            <w:pPr>
              <w:widowControl/>
              <w:spacing w:line="360" w:lineRule="auto"/>
              <w:jc w:val="left"/>
              <w:textAlignment w:val="center"/>
              <w:rPr>
                <w:rFonts w:ascii="仿宋" w:hAnsi="仿宋" w:eastAsia="仿宋"/>
                <w:color w:val="000000"/>
                <w:kern w:val="0"/>
                <w:sz w:val="24"/>
                <w:lang w:bidi="ar"/>
              </w:rPr>
            </w:pPr>
            <w:r>
              <w:rPr>
                <w:rFonts w:hint="eastAsia" w:ascii="仿宋" w:hAnsi="仿宋" w:eastAsia="仿宋"/>
                <w:color w:val="000000"/>
                <w:kern w:val="0"/>
                <w:sz w:val="24"/>
                <w:lang w:bidi="ar"/>
              </w:rPr>
              <w:t>18.考场验证：支持验证的对象仅仅是具体考场的考生。</w:t>
            </w:r>
          </w:p>
          <w:p>
            <w:pPr>
              <w:widowControl/>
              <w:spacing w:line="360" w:lineRule="auto"/>
              <w:jc w:val="left"/>
              <w:textAlignment w:val="center"/>
              <w:rPr>
                <w:rFonts w:ascii="仿宋" w:hAnsi="仿宋" w:eastAsia="仿宋"/>
                <w:color w:val="000000"/>
                <w:kern w:val="0"/>
                <w:sz w:val="24"/>
                <w:lang w:bidi="ar"/>
              </w:rPr>
            </w:pPr>
            <w:r>
              <w:rPr>
                <w:rFonts w:hint="eastAsia" w:ascii="仿宋" w:hAnsi="仿宋" w:eastAsia="仿宋"/>
                <w:color w:val="000000"/>
                <w:kern w:val="0"/>
                <w:sz w:val="24"/>
                <w:lang w:bidi="ar"/>
              </w:rPr>
              <w:t>19.考点验证：支持验证的对象为整个考点的考生。</w:t>
            </w:r>
          </w:p>
          <w:p>
            <w:pPr>
              <w:widowControl/>
              <w:spacing w:line="360" w:lineRule="auto"/>
              <w:jc w:val="left"/>
              <w:textAlignment w:val="center"/>
              <w:rPr>
                <w:rFonts w:ascii="仿宋" w:hAnsi="仿宋" w:eastAsia="仿宋"/>
                <w:color w:val="000000"/>
                <w:kern w:val="0"/>
                <w:sz w:val="24"/>
                <w:lang w:bidi="ar"/>
              </w:rPr>
            </w:pPr>
            <w:r>
              <w:rPr>
                <w:rFonts w:hint="eastAsia" w:ascii="仿宋" w:hAnsi="仿宋" w:eastAsia="仿宋"/>
                <w:color w:val="000000"/>
                <w:kern w:val="0"/>
                <w:sz w:val="24"/>
                <w:lang w:bidi="ar"/>
              </w:rPr>
              <w:t>20.验证进度查看：支持查看当前机器已验证的考生、未验证的考生、缺考考生、 违纪考生。</w:t>
            </w:r>
          </w:p>
          <w:p>
            <w:pPr>
              <w:spacing w:after="60" w:line="360" w:lineRule="auto"/>
              <w:jc w:val="left"/>
              <w:rPr>
                <w:rFonts w:ascii="仿宋" w:hAnsi="仿宋" w:eastAsia="仿宋"/>
                <w:b/>
                <w:kern w:val="0"/>
                <w:sz w:val="24"/>
              </w:rPr>
            </w:pPr>
            <w:r>
              <w:rPr>
                <w:rFonts w:hint="eastAsia" w:ascii="仿宋" w:hAnsi="仿宋" w:eastAsia="仿宋"/>
                <w:color w:val="000000"/>
                <w:kern w:val="0"/>
                <w:sz w:val="24"/>
                <w:lang w:bidi="ar"/>
              </w:rPr>
              <w:t>21. ▲身份验证终端的内置软件要</w:t>
            </w:r>
            <w:r>
              <w:rPr>
                <w:rFonts w:hint="eastAsia" w:ascii="仿宋" w:hAnsi="仿宋" w:eastAsia="仿宋"/>
                <w:b/>
                <w:kern w:val="0"/>
                <w:sz w:val="24"/>
              </w:rPr>
              <w:t>能够有效对接广东省教育考试院考务综合管理平台和深圳市招生办身份验证平台互联互通，并且通畅上传考生数据，</w:t>
            </w:r>
          </w:p>
          <w:p>
            <w:pPr>
              <w:pStyle w:val="36"/>
              <w:ind w:firstLine="0" w:firstLineChars="0"/>
              <w:jc w:val="left"/>
              <w:rPr>
                <w:rFonts w:ascii="仿宋" w:hAnsi="仿宋" w:eastAsia="仿宋"/>
                <w:kern w:val="0"/>
                <w:sz w:val="24"/>
                <w:szCs w:val="24"/>
              </w:rPr>
            </w:pPr>
            <w:r>
              <w:rPr>
                <w:rFonts w:hint="eastAsia" w:ascii="仿宋" w:hAnsi="仿宋" w:eastAsia="仿宋"/>
                <w:b/>
                <w:kern w:val="0"/>
                <w:sz w:val="24"/>
                <w:szCs w:val="24"/>
              </w:rPr>
              <w:t>提供截图与互联互通承诺函。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pStyle w:val="11"/>
              <w:snapToGrid w:val="0"/>
              <w:spacing w:line="360" w:lineRule="auto"/>
              <w:jc w:val="center"/>
              <w:rPr>
                <w:rFonts w:ascii="仿宋" w:hAnsi="仿宋" w:eastAsia="仿宋"/>
                <w:sz w:val="24"/>
                <w:szCs w:val="24"/>
              </w:rPr>
            </w:pPr>
            <w:r>
              <w:rPr>
                <w:rFonts w:hint="eastAsia" w:ascii="仿宋" w:hAnsi="仿宋" w:eastAsia="仿宋"/>
                <w:sz w:val="24"/>
                <w:szCs w:val="24"/>
                <w:lang w:val="en-US"/>
              </w:rPr>
              <w:t>技术支持服务</w:t>
            </w:r>
          </w:p>
        </w:tc>
        <w:tc>
          <w:tcPr>
            <w:tcW w:w="6854" w:type="dxa"/>
          </w:tcPr>
          <w:p>
            <w:pPr>
              <w:pStyle w:val="36"/>
              <w:numPr>
                <w:ilvl w:val="0"/>
                <w:numId w:val="5"/>
              </w:numPr>
              <w:ind w:left="0" w:firstLine="0" w:firstLineChars="0"/>
              <w:jc w:val="left"/>
              <w:rPr>
                <w:rFonts w:ascii="仿宋" w:hAnsi="仿宋" w:eastAsia="仿宋"/>
                <w:kern w:val="0"/>
                <w:sz w:val="24"/>
                <w:szCs w:val="24"/>
              </w:rPr>
            </w:pPr>
            <w:r>
              <w:rPr>
                <w:rFonts w:hint="eastAsia" w:ascii="仿宋" w:hAnsi="仿宋" w:eastAsia="仿宋"/>
                <w:b/>
                <w:bCs/>
                <w:sz w:val="24"/>
                <w:szCs w:val="24"/>
              </w:rPr>
              <w:t>▲</w:t>
            </w:r>
            <w:r>
              <w:rPr>
                <w:rFonts w:hint="eastAsia" w:ascii="仿宋" w:hAnsi="仿宋" w:eastAsia="仿宋"/>
                <w:kern w:val="0"/>
                <w:sz w:val="24"/>
                <w:szCs w:val="24"/>
              </w:rPr>
              <w:t>设备由供应商负责运送至采购人指定的地点。</w:t>
            </w:r>
          </w:p>
          <w:p>
            <w:pPr>
              <w:pStyle w:val="36"/>
              <w:numPr>
                <w:ilvl w:val="0"/>
                <w:numId w:val="5"/>
              </w:numPr>
              <w:ind w:left="0" w:firstLine="0" w:firstLineChars="0"/>
              <w:jc w:val="left"/>
              <w:rPr>
                <w:rFonts w:ascii="仿宋" w:hAnsi="仿宋" w:eastAsia="仿宋"/>
                <w:kern w:val="0"/>
                <w:sz w:val="24"/>
                <w:szCs w:val="24"/>
              </w:rPr>
            </w:pPr>
            <w:r>
              <w:rPr>
                <w:rFonts w:hint="eastAsia" w:ascii="仿宋" w:hAnsi="仿宋" w:eastAsia="仿宋"/>
                <w:kern w:val="0"/>
                <w:sz w:val="24"/>
                <w:szCs w:val="24"/>
              </w:rPr>
              <w:t>设备安装和调试过程所需的一切工具（含测试工具）、仪器等均由供应商负责。</w:t>
            </w:r>
          </w:p>
          <w:p>
            <w:pPr>
              <w:pStyle w:val="36"/>
              <w:numPr>
                <w:ilvl w:val="0"/>
                <w:numId w:val="5"/>
              </w:numPr>
              <w:ind w:left="0" w:firstLine="0" w:firstLineChars="0"/>
              <w:jc w:val="left"/>
              <w:rPr>
                <w:rFonts w:ascii="仿宋" w:hAnsi="仿宋" w:eastAsia="仿宋"/>
                <w:kern w:val="0"/>
                <w:sz w:val="24"/>
                <w:szCs w:val="24"/>
              </w:rPr>
            </w:pPr>
            <w:r>
              <w:rPr>
                <w:rFonts w:hint="eastAsia" w:ascii="仿宋" w:hAnsi="仿宋" w:eastAsia="仿宋"/>
                <w:kern w:val="0"/>
                <w:sz w:val="24"/>
                <w:szCs w:val="24"/>
              </w:rPr>
              <w:t>考试前，供应商须按采购人的要求完成设备及管理系统的安装调试工作，保证设备及系统正常运行。</w:t>
            </w:r>
          </w:p>
          <w:p>
            <w:pPr>
              <w:pStyle w:val="36"/>
              <w:numPr>
                <w:ilvl w:val="0"/>
                <w:numId w:val="5"/>
              </w:numPr>
              <w:ind w:left="0" w:firstLine="0" w:firstLineChars="0"/>
              <w:jc w:val="left"/>
              <w:rPr>
                <w:rFonts w:ascii="仿宋" w:hAnsi="仿宋" w:eastAsia="仿宋"/>
                <w:kern w:val="0"/>
                <w:sz w:val="24"/>
                <w:szCs w:val="24"/>
              </w:rPr>
            </w:pPr>
            <w:r>
              <w:rPr>
                <w:rFonts w:hint="eastAsia" w:ascii="仿宋" w:hAnsi="仿宋" w:eastAsia="仿宋"/>
                <w:kern w:val="0"/>
                <w:sz w:val="24"/>
                <w:szCs w:val="24"/>
              </w:rPr>
              <w:t>供应商需在考试之前为采购人提供设备操作培训，培训对象为系统维护人员与操作人员。</w:t>
            </w:r>
          </w:p>
          <w:p>
            <w:pPr>
              <w:pStyle w:val="36"/>
              <w:numPr>
                <w:ilvl w:val="0"/>
                <w:numId w:val="5"/>
              </w:numPr>
              <w:ind w:left="0" w:firstLine="0" w:firstLineChars="0"/>
              <w:jc w:val="left"/>
              <w:rPr>
                <w:rFonts w:ascii="仿宋" w:hAnsi="仿宋" w:eastAsia="仿宋"/>
                <w:kern w:val="0"/>
                <w:sz w:val="24"/>
                <w:szCs w:val="24"/>
              </w:rPr>
            </w:pPr>
            <w:r>
              <w:rPr>
                <w:rFonts w:hint="eastAsia" w:ascii="仿宋" w:hAnsi="仿宋" w:eastAsia="仿宋"/>
                <w:kern w:val="0"/>
                <w:sz w:val="24"/>
                <w:szCs w:val="24"/>
              </w:rPr>
              <w:t>供应商需提供7x24小时即时响应服务，考试期间有任何问题需要在5分钟内响应，1小时内解决问题。</w:t>
            </w:r>
          </w:p>
        </w:tc>
      </w:tr>
    </w:tbl>
    <w:p>
      <w:pPr>
        <w:numPr>
          <w:ilvl w:val="0"/>
          <w:numId w:val="0"/>
        </w:numPr>
        <w:spacing w:line="560" w:lineRule="exact"/>
        <w:ind w:left="420" w:leftChars="0"/>
        <w:rPr>
          <w:rFonts w:ascii="宋体" w:hAnsi="宋体"/>
          <w:b/>
          <w:bCs/>
          <w:sz w:val="24"/>
        </w:rPr>
      </w:pPr>
      <w:r>
        <w:rPr>
          <w:rFonts w:hint="eastAsia" w:ascii="宋体" w:hAnsi="宋体"/>
          <w:b/>
          <w:bCs/>
          <w:sz w:val="24"/>
          <w:lang w:val="en-US" w:eastAsia="zh-CN"/>
        </w:rPr>
        <w:t>四、</w:t>
      </w:r>
      <w:r>
        <w:rPr>
          <w:rFonts w:hint="eastAsia" w:ascii="宋体" w:hAnsi="宋体"/>
          <w:b/>
          <w:bCs/>
          <w:sz w:val="24"/>
        </w:rPr>
        <w:t>项目技术要求</w:t>
      </w:r>
    </w:p>
    <w:p>
      <w:pPr>
        <w:pStyle w:val="38"/>
        <w:numPr>
          <w:ilvl w:val="0"/>
          <w:numId w:val="0"/>
        </w:numPr>
        <w:spacing w:line="560" w:lineRule="exact"/>
        <w:ind w:firstLine="480" w:firstLineChars="200"/>
        <w:rPr>
          <w:rFonts w:hAnsi="宋体"/>
          <w:kern w:val="2"/>
          <w:sz w:val="24"/>
          <w:szCs w:val="24"/>
        </w:rPr>
      </w:pPr>
      <w:r>
        <w:rPr>
          <w:rFonts w:hint="eastAsia" w:hAnsi="宋体"/>
          <w:kern w:val="2"/>
          <w:sz w:val="24"/>
          <w:szCs w:val="24"/>
        </w:rPr>
        <w:t>1.技术路线需求</w:t>
      </w:r>
    </w:p>
    <w:p>
      <w:pPr>
        <w:pStyle w:val="38"/>
        <w:numPr>
          <w:ilvl w:val="0"/>
          <w:numId w:val="0"/>
        </w:numPr>
        <w:spacing w:line="560" w:lineRule="exact"/>
        <w:ind w:firstLine="422" w:firstLineChars="200"/>
        <w:rPr>
          <w:rFonts w:hAnsi="宋体"/>
          <w:kern w:val="2"/>
          <w:sz w:val="24"/>
          <w:szCs w:val="24"/>
        </w:rPr>
      </w:pPr>
      <w:bookmarkStart w:id="13" w:name="_Hlk89169922"/>
      <w:r>
        <w:rPr>
          <w:rFonts w:hint="eastAsia"/>
          <w:b/>
          <w:bCs/>
        </w:rPr>
        <w:t>▲</w:t>
      </w:r>
      <w:bookmarkEnd w:id="13"/>
      <w:r>
        <w:rPr>
          <w:rFonts w:hint="eastAsia" w:hAnsi="宋体"/>
          <w:kern w:val="2"/>
          <w:sz w:val="24"/>
          <w:szCs w:val="24"/>
        </w:rPr>
        <w:t>需采用具备身份证读取与人脸识别的终端设备，在考点每个考场门口部署人脸识别身份验证终端，考生通过刷身份证人脸识别进行入场，采集考生现场照片与报名照片进行比对，辅助监考人员确定考生真实身份。</w:t>
      </w:r>
    </w:p>
    <w:p>
      <w:pPr>
        <w:pStyle w:val="38"/>
        <w:numPr>
          <w:ilvl w:val="0"/>
          <w:numId w:val="0"/>
        </w:numPr>
        <w:spacing w:line="560" w:lineRule="exact"/>
        <w:ind w:firstLine="480" w:firstLineChars="200"/>
        <w:rPr>
          <w:rFonts w:hAnsi="宋体"/>
          <w:kern w:val="2"/>
          <w:sz w:val="24"/>
          <w:szCs w:val="24"/>
        </w:rPr>
      </w:pPr>
      <w:r>
        <w:rPr>
          <w:rFonts w:hint="eastAsia" w:hAnsi="宋体"/>
          <w:kern w:val="2"/>
          <w:sz w:val="24"/>
          <w:szCs w:val="24"/>
        </w:rPr>
        <w:t>2.系统安全性需求</w:t>
      </w:r>
    </w:p>
    <w:p>
      <w:pPr>
        <w:pStyle w:val="38"/>
        <w:numPr>
          <w:ilvl w:val="0"/>
          <w:numId w:val="0"/>
        </w:numPr>
        <w:spacing w:line="560" w:lineRule="exact"/>
        <w:ind w:firstLine="422" w:firstLineChars="200"/>
        <w:rPr>
          <w:rFonts w:hAnsi="宋体"/>
          <w:kern w:val="2"/>
          <w:sz w:val="24"/>
          <w:szCs w:val="24"/>
        </w:rPr>
      </w:pPr>
      <w:r>
        <w:rPr>
          <w:rFonts w:hint="eastAsia"/>
          <w:b/>
          <w:bCs/>
        </w:rPr>
        <w:t>▲</w:t>
      </w:r>
      <w:r>
        <w:rPr>
          <w:rFonts w:hint="eastAsia" w:hAnsi="宋体"/>
          <w:kern w:val="2"/>
          <w:sz w:val="24"/>
          <w:szCs w:val="24"/>
        </w:rPr>
        <w:t>身份验证终端中的考务数据必须经过加密处理，在系统以外无法被读取，只能在身份验证系统内部流转使用；</w:t>
      </w:r>
    </w:p>
    <w:p>
      <w:pPr>
        <w:pStyle w:val="38"/>
        <w:numPr>
          <w:ilvl w:val="0"/>
          <w:numId w:val="0"/>
        </w:numPr>
        <w:spacing w:line="560" w:lineRule="exact"/>
        <w:ind w:firstLine="480" w:firstLineChars="200"/>
        <w:rPr>
          <w:rFonts w:hAnsi="宋体"/>
          <w:kern w:val="2"/>
          <w:sz w:val="24"/>
          <w:szCs w:val="24"/>
        </w:rPr>
      </w:pPr>
      <w:r>
        <w:rPr>
          <w:rFonts w:hint="eastAsia" w:hAnsi="宋体"/>
          <w:kern w:val="2"/>
          <w:sz w:val="24"/>
          <w:szCs w:val="24"/>
        </w:rPr>
        <w:t>身份验证终端在操作流程上具备保密性，设备应根据内置的考务流程规则自动工作，在考试验证期间监考人员及考生只能在设备上进行人脸比对，无法进行其他操作。</w:t>
      </w:r>
    </w:p>
    <w:p>
      <w:pPr>
        <w:pStyle w:val="38"/>
        <w:numPr>
          <w:ilvl w:val="0"/>
          <w:numId w:val="0"/>
        </w:numPr>
        <w:spacing w:line="560" w:lineRule="exact"/>
        <w:ind w:firstLine="480" w:firstLineChars="200"/>
        <w:rPr>
          <w:rFonts w:hAnsi="宋体"/>
          <w:kern w:val="2"/>
          <w:sz w:val="24"/>
          <w:szCs w:val="24"/>
        </w:rPr>
      </w:pPr>
      <w:r>
        <w:rPr>
          <w:rFonts w:hint="eastAsia" w:hAnsi="宋体"/>
          <w:kern w:val="2"/>
          <w:sz w:val="24"/>
          <w:szCs w:val="24"/>
        </w:rPr>
        <w:t>3.规范性与标准性需求</w:t>
      </w:r>
    </w:p>
    <w:p>
      <w:pPr>
        <w:pStyle w:val="38"/>
        <w:numPr>
          <w:ilvl w:val="0"/>
          <w:numId w:val="0"/>
        </w:numPr>
        <w:spacing w:line="560" w:lineRule="exact"/>
        <w:ind w:firstLine="480" w:firstLineChars="200"/>
        <w:rPr>
          <w:rFonts w:hAnsi="宋体"/>
          <w:kern w:val="2"/>
          <w:sz w:val="24"/>
          <w:szCs w:val="24"/>
        </w:rPr>
      </w:pPr>
      <w:r>
        <w:rPr>
          <w:rFonts w:hint="eastAsia" w:hAnsi="宋体"/>
          <w:kern w:val="2"/>
          <w:sz w:val="24"/>
          <w:szCs w:val="24"/>
        </w:rPr>
        <w:t>供应商提供的相关设备需遵循国家相关技术规范要求：</w:t>
      </w:r>
    </w:p>
    <w:p>
      <w:pPr>
        <w:pStyle w:val="38"/>
        <w:numPr>
          <w:ilvl w:val="0"/>
          <w:numId w:val="0"/>
        </w:numPr>
        <w:spacing w:line="560" w:lineRule="exact"/>
        <w:ind w:firstLine="480" w:firstLineChars="200"/>
        <w:rPr>
          <w:rFonts w:hAnsi="宋体"/>
          <w:kern w:val="2"/>
          <w:sz w:val="24"/>
          <w:szCs w:val="24"/>
        </w:rPr>
      </w:pPr>
      <w:r>
        <w:rPr>
          <w:rFonts w:hint="eastAsia" w:hAnsi="宋体"/>
          <w:kern w:val="2"/>
          <w:sz w:val="24"/>
          <w:szCs w:val="24"/>
        </w:rPr>
        <w:t>《信息安全技术信息系统等级保护安全设计技术要求》；</w:t>
      </w:r>
    </w:p>
    <w:p>
      <w:pPr>
        <w:pStyle w:val="38"/>
        <w:numPr>
          <w:ilvl w:val="0"/>
          <w:numId w:val="0"/>
        </w:numPr>
        <w:spacing w:line="560" w:lineRule="exact"/>
        <w:ind w:firstLine="480" w:firstLineChars="200"/>
        <w:rPr>
          <w:rFonts w:hAnsi="宋体"/>
          <w:kern w:val="2"/>
          <w:sz w:val="24"/>
          <w:szCs w:val="24"/>
        </w:rPr>
      </w:pPr>
      <w:r>
        <w:rPr>
          <w:rFonts w:hint="eastAsia" w:hAnsi="宋体"/>
          <w:kern w:val="2"/>
          <w:sz w:val="24"/>
          <w:szCs w:val="24"/>
        </w:rPr>
        <w:t>《信息安全技术信息系统安全等级保护基本要求》中的第三级要求；</w:t>
      </w:r>
    </w:p>
    <w:p>
      <w:pPr>
        <w:pStyle w:val="38"/>
        <w:numPr>
          <w:ilvl w:val="0"/>
          <w:numId w:val="0"/>
        </w:numPr>
        <w:spacing w:line="560" w:lineRule="exact"/>
        <w:ind w:firstLine="480" w:firstLineChars="200"/>
        <w:rPr>
          <w:rFonts w:hAnsi="宋体"/>
          <w:kern w:val="2"/>
          <w:sz w:val="24"/>
          <w:szCs w:val="24"/>
        </w:rPr>
      </w:pPr>
      <w:r>
        <w:rPr>
          <w:rFonts w:hint="eastAsia" w:hAnsi="宋体"/>
          <w:kern w:val="2"/>
          <w:sz w:val="24"/>
          <w:szCs w:val="24"/>
        </w:rPr>
        <w:t>《信息安全等级保护商用密码管理办法》；</w:t>
      </w:r>
    </w:p>
    <w:p>
      <w:pPr>
        <w:pStyle w:val="38"/>
        <w:numPr>
          <w:ilvl w:val="0"/>
          <w:numId w:val="0"/>
        </w:numPr>
        <w:spacing w:line="560" w:lineRule="exact"/>
        <w:ind w:firstLine="480" w:firstLineChars="200"/>
        <w:rPr>
          <w:rFonts w:hAnsi="宋体"/>
          <w:kern w:val="2"/>
          <w:sz w:val="24"/>
          <w:szCs w:val="24"/>
        </w:rPr>
      </w:pPr>
      <w:r>
        <w:rPr>
          <w:rFonts w:hint="eastAsia" w:hAnsi="宋体"/>
          <w:kern w:val="2"/>
          <w:sz w:val="24"/>
          <w:szCs w:val="24"/>
        </w:rPr>
        <w:t>《信息安全等级保护商用密码技术要求》；</w:t>
      </w:r>
    </w:p>
    <w:p>
      <w:pPr>
        <w:pStyle w:val="38"/>
        <w:numPr>
          <w:ilvl w:val="0"/>
          <w:numId w:val="0"/>
        </w:numPr>
        <w:spacing w:line="560" w:lineRule="exact"/>
        <w:ind w:firstLine="480" w:firstLineChars="200"/>
        <w:rPr>
          <w:rFonts w:hAnsi="宋体"/>
          <w:kern w:val="2"/>
          <w:sz w:val="24"/>
          <w:szCs w:val="24"/>
        </w:rPr>
      </w:pPr>
      <w:r>
        <w:rPr>
          <w:rFonts w:hint="eastAsia" w:hAnsi="宋体"/>
          <w:kern w:val="2"/>
          <w:sz w:val="24"/>
          <w:szCs w:val="24"/>
        </w:rPr>
        <w:t>《手持式居民身份证阅读器》；</w:t>
      </w:r>
    </w:p>
    <w:p>
      <w:pPr>
        <w:pStyle w:val="38"/>
        <w:numPr>
          <w:ilvl w:val="0"/>
          <w:numId w:val="0"/>
        </w:numPr>
        <w:spacing w:line="560" w:lineRule="exact"/>
        <w:ind w:firstLine="480" w:firstLineChars="200"/>
        <w:rPr>
          <w:rFonts w:hAnsi="宋体"/>
          <w:kern w:val="2"/>
          <w:sz w:val="24"/>
          <w:szCs w:val="24"/>
        </w:rPr>
      </w:pPr>
      <w:r>
        <w:rPr>
          <w:rFonts w:hint="eastAsia" w:hAnsi="宋体"/>
          <w:kern w:val="2"/>
          <w:sz w:val="24"/>
          <w:szCs w:val="24"/>
        </w:rPr>
        <w:t>《台式居民身份证阅读器通用技术要求》。</w:t>
      </w:r>
    </w:p>
    <w:p>
      <w:pPr>
        <w:pStyle w:val="38"/>
        <w:numPr>
          <w:ilvl w:val="0"/>
          <w:numId w:val="0"/>
        </w:numPr>
        <w:spacing w:line="560" w:lineRule="exact"/>
        <w:ind w:firstLine="480" w:firstLineChars="200"/>
        <w:rPr>
          <w:rFonts w:hAnsi="宋体"/>
          <w:kern w:val="2"/>
          <w:sz w:val="24"/>
          <w:szCs w:val="24"/>
        </w:rPr>
      </w:pPr>
      <w:r>
        <w:rPr>
          <w:rFonts w:hint="eastAsia" w:hAnsi="宋体"/>
          <w:kern w:val="2"/>
          <w:sz w:val="24"/>
          <w:szCs w:val="24"/>
        </w:rPr>
        <w:t>4..性能需求</w:t>
      </w:r>
    </w:p>
    <w:p>
      <w:pPr>
        <w:pStyle w:val="38"/>
        <w:numPr>
          <w:ilvl w:val="0"/>
          <w:numId w:val="0"/>
        </w:numPr>
        <w:spacing w:line="560" w:lineRule="exact"/>
        <w:ind w:firstLine="480" w:firstLineChars="200"/>
        <w:rPr>
          <w:rFonts w:hAnsi="宋体"/>
          <w:kern w:val="2"/>
          <w:sz w:val="24"/>
          <w:szCs w:val="24"/>
        </w:rPr>
      </w:pPr>
      <w:r>
        <w:rPr>
          <w:rFonts w:hint="eastAsia" w:hAnsi="宋体"/>
          <w:kern w:val="2"/>
          <w:sz w:val="24"/>
          <w:szCs w:val="24"/>
        </w:rPr>
        <w:t>考生人脸识别时间≤2s。；</w:t>
      </w:r>
    </w:p>
    <w:p>
      <w:pPr>
        <w:pStyle w:val="38"/>
        <w:numPr>
          <w:ilvl w:val="0"/>
          <w:numId w:val="0"/>
        </w:numPr>
        <w:spacing w:line="560" w:lineRule="exact"/>
        <w:ind w:firstLine="480" w:firstLineChars="200"/>
        <w:rPr>
          <w:rFonts w:hAnsi="宋体"/>
          <w:kern w:val="2"/>
          <w:sz w:val="24"/>
          <w:szCs w:val="24"/>
        </w:rPr>
      </w:pPr>
      <w:r>
        <w:rPr>
          <w:rFonts w:hint="eastAsia" w:hAnsi="宋体"/>
          <w:kern w:val="2"/>
          <w:sz w:val="24"/>
          <w:szCs w:val="24"/>
        </w:rPr>
        <w:t>图像质量：≤320×240 24位真彩色，≥240*180 24位真彩色。8k≤图片大小≤30k。</w:t>
      </w:r>
    </w:p>
    <w:p>
      <w:pPr>
        <w:pStyle w:val="38"/>
        <w:numPr>
          <w:ilvl w:val="0"/>
          <w:numId w:val="0"/>
        </w:numPr>
        <w:spacing w:line="560" w:lineRule="exact"/>
        <w:ind w:firstLine="480" w:firstLineChars="200"/>
        <w:rPr>
          <w:rFonts w:hAnsi="宋体"/>
          <w:kern w:val="2"/>
          <w:sz w:val="24"/>
          <w:szCs w:val="24"/>
        </w:rPr>
      </w:pPr>
      <w:r>
        <w:rPr>
          <w:rFonts w:hint="eastAsia" w:hAnsi="宋体"/>
          <w:kern w:val="2"/>
          <w:sz w:val="24"/>
          <w:szCs w:val="24"/>
        </w:rPr>
        <w:t>给定误识率为0.001时，准确率≥99%。</w:t>
      </w:r>
    </w:p>
    <w:p>
      <w:pPr>
        <w:pStyle w:val="38"/>
        <w:numPr>
          <w:ilvl w:val="0"/>
          <w:numId w:val="0"/>
        </w:numPr>
        <w:spacing w:line="560" w:lineRule="exact"/>
        <w:ind w:firstLine="480" w:firstLineChars="200"/>
        <w:rPr>
          <w:rFonts w:hAnsi="宋体"/>
          <w:kern w:val="2"/>
          <w:sz w:val="24"/>
          <w:szCs w:val="24"/>
        </w:rPr>
      </w:pPr>
      <w:r>
        <w:rPr>
          <w:rFonts w:hint="eastAsia" w:hAnsi="宋体"/>
          <w:kern w:val="2"/>
          <w:sz w:val="24"/>
          <w:szCs w:val="24"/>
        </w:rPr>
        <w:t>5.可靠性需求</w:t>
      </w:r>
    </w:p>
    <w:p>
      <w:pPr>
        <w:pStyle w:val="38"/>
        <w:numPr>
          <w:ilvl w:val="0"/>
          <w:numId w:val="0"/>
        </w:numPr>
        <w:spacing w:line="560" w:lineRule="exact"/>
        <w:ind w:firstLine="480" w:firstLineChars="200"/>
        <w:rPr>
          <w:rFonts w:hAnsi="宋体"/>
          <w:kern w:val="2"/>
          <w:sz w:val="24"/>
          <w:szCs w:val="24"/>
        </w:rPr>
      </w:pPr>
      <w:r>
        <w:rPr>
          <w:rFonts w:hint="eastAsia" w:hAnsi="宋体"/>
          <w:kern w:val="2"/>
          <w:sz w:val="24"/>
          <w:szCs w:val="24"/>
        </w:rPr>
        <w:t>供应商提供的终端设备稳定可靠，可确保考试验证全程无障碍运行，可在无外接电源的情况下持续工作4小时以上。</w:t>
      </w:r>
    </w:p>
    <w:p>
      <w:pPr>
        <w:pStyle w:val="38"/>
        <w:numPr>
          <w:ilvl w:val="0"/>
          <w:numId w:val="0"/>
        </w:numPr>
        <w:spacing w:line="560" w:lineRule="exact"/>
        <w:ind w:firstLine="480" w:firstLineChars="200"/>
        <w:rPr>
          <w:rFonts w:hAnsi="宋体"/>
          <w:kern w:val="2"/>
          <w:sz w:val="24"/>
          <w:szCs w:val="24"/>
        </w:rPr>
      </w:pPr>
      <w:r>
        <w:rPr>
          <w:rFonts w:hint="eastAsia" w:hAnsi="宋体"/>
          <w:kern w:val="2"/>
          <w:sz w:val="24"/>
          <w:szCs w:val="24"/>
        </w:rPr>
        <w:t>6.易操作性需求</w:t>
      </w:r>
    </w:p>
    <w:p>
      <w:pPr>
        <w:pStyle w:val="38"/>
        <w:numPr>
          <w:ilvl w:val="0"/>
          <w:numId w:val="0"/>
        </w:numPr>
        <w:spacing w:line="560" w:lineRule="exact"/>
        <w:ind w:firstLine="480" w:firstLineChars="200"/>
        <w:rPr>
          <w:rFonts w:hAnsi="宋体"/>
          <w:kern w:val="2"/>
          <w:sz w:val="24"/>
          <w:szCs w:val="24"/>
        </w:rPr>
      </w:pPr>
      <w:r>
        <w:rPr>
          <w:rFonts w:hint="eastAsia" w:hAnsi="宋体"/>
          <w:kern w:val="2"/>
          <w:sz w:val="24"/>
          <w:szCs w:val="24"/>
        </w:rPr>
        <w:t>设备操作方法简单易学，具备详尽的操作说明文档与技术培训服务。</w:t>
      </w:r>
    </w:p>
    <w:p>
      <w:pPr>
        <w:pStyle w:val="38"/>
        <w:numPr>
          <w:ilvl w:val="0"/>
          <w:numId w:val="0"/>
        </w:numPr>
        <w:spacing w:line="560" w:lineRule="exact"/>
        <w:ind w:firstLine="480" w:firstLineChars="200"/>
        <w:rPr>
          <w:rFonts w:hAnsi="宋体"/>
          <w:kern w:val="2"/>
          <w:sz w:val="24"/>
          <w:szCs w:val="24"/>
          <w:highlight w:val="none"/>
        </w:rPr>
      </w:pPr>
      <w:r>
        <w:rPr>
          <w:rFonts w:hAnsi="宋体"/>
          <w:kern w:val="2"/>
          <w:sz w:val="24"/>
          <w:szCs w:val="24"/>
          <w:highlight w:val="none"/>
        </w:rPr>
        <w:t>7</w:t>
      </w:r>
      <w:r>
        <w:rPr>
          <w:rFonts w:hint="eastAsia" w:hAnsi="宋体"/>
          <w:kern w:val="2"/>
          <w:sz w:val="24"/>
          <w:szCs w:val="24"/>
          <w:highlight w:val="none"/>
        </w:rPr>
        <w:t>．</w:t>
      </w:r>
      <w:r>
        <w:rPr>
          <w:rFonts w:hint="eastAsia"/>
          <w:b/>
          <w:bCs/>
          <w:highlight w:val="none"/>
        </w:rPr>
        <w:t>▲</w:t>
      </w:r>
      <w:r>
        <w:rPr>
          <w:rFonts w:hint="eastAsia" w:hAnsi="宋体"/>
          <w:kern w:val="2"/>
          <w:sz w:val="24"/>
          <w:szCs w:val="24"/>
          <w:highlight w:val="none"/>
        </w:rPr>
        <w:t>考生验证数据上传至深圳市招生考试办公室身份验证管理平台。</w:t>
      </w:r>
    </w:p>
    <w:p>
      <w:pPr>
        <w:numPr>
          <w:ilvl w:val="0"/>
          <w:numId w:val="0"/>
        </w:numPr>
        <w:spacing w:line="560" w:lineRule="exact"/>
        <w:ind w:left="420" w:leftChars="0"/>
        <w:rPr>
          <w:rFonts w:ascii="宋体" w:hAnsi="宋体"/>
          <w:b/>
          <w:bCs/>
          <w:sz w:val="24"/>
        </w:rPr>
      </w:pPr>
      <w:r>
        <w:rPr>
          <w:rFonts w:hint="eastAsia" w:ascii="宋体" w:hAnsi="宋体"/>
          <w:b/>
          <w:bCs/>
          <w:sz w:val="24"/>
          <w:lang w:val="en-US" w:eastAsia="zh-CN"/>
        </w:rPr>
        <w:t>五、</w:t>
      </w:r>
      <w:r>
        <w:rPr>
          <w:rFonts w:hint="eastAsia" w:ascii="宋体" w:hAnsi="宋体"/>
          <w:b/>
          <w:bCs/>
          <w:sz w:val="24"/>
        </w:rPr>
        <w:t>项目组织实施要求</w:t>
      </w:r>
    </w:p>
    <w:p>
      <w:pPr>
        <w:pStyle w:val="38"/>
        <w:numPr>
          <w:ilvl w:val="0"/>
          <w:numId w:val="0"/>
        </w:numPr>
        <w:spacing w:line="560" w:lineRule="exact"/>
        <w:ind w:firstLine="480" w:firstLineChars="200"/>
        <w:rPr>
          <w:rFonts w:hAnsi="宋体"/>
          <w:kern w:val="2"/>
          <w:sz w:val="24"/>
          <w:szCs w:val="24"/>
        </w:rPr>
      </w:pPr>
      <w:r>
        <w:rPr>
          <w:rFonts w:hint="eastAsia" w:hAnsi="宋体"/>
          <w:kern w:val="2"/>
          <w:sz w:val="24"/>
          <w:szCs w:val="24"/>
        </w:rPr>
        <w:t>1．项目实施步骤要求</w:t>
      </w:r>
    </w:p>
    <w:p>
      <w:pPr>
        <w:pStyle w:val="38"/>
        <w:numPr>
          <w:ilvl w:val="0"/>
          <w:numId w:val="0"/>
        </w:numPr>
        <w:spacing w:line="560" w:lineRule="exact"/>
        <w:ind w:firstLine="480" w:firstLineChars="200"/>
        <w:rPr>
          <w:rFonts w:hAnsi="宋体"/>
          <w:kern w:val="2"/>
          <w:sz w:val="24"/>
          <w:szCs w:val="24"/>
        </w:rPr>
      </w:pPr>
      <w:r>
        <w:rPr>
          <w:rFonts w:hint="eastAsia" w:hAnsi="宋体"/>
          <w:kern w:val="2"/>
          <w:sz w:val="24"/>
          <w:szCs w:val="24"/>
        </w:rPr>
        <w:t>有详细的实施组织机构、拟派人员、实施规划、实施内容、实施保障、实施进度计划等，确保项目按时、保质、保量的完成。</w:t>
      </w:r>
    </w:p>
    <w:p>
      <w:pPr>
        <w:pStyle w:val="38"/>
        <w:numPr>
          <w:ilvl w:val="0"/>
          <w:numId w:val="0"/>
        </w:numPr>
        <w:spacing w:line="560" w:lineRule="exact"/>
        <w:ind w:firstLine="480" w:firstLineChars="200"/>
        <w:rPr>
          <w:rFonts w:hAnsi="宋体"/>
          <w:kern w:val="2"/>
          <w:sz w:val="24"/>
          <w:szCs w:val="24"/>
        </w:rPr>
      </w:pPr>
      <w:r>
        <w:rPr>
          <w:rFonts w:hint="eastAsia" w:hAnsi="宋体"/>
          <w:kern w:val="2"/>
          <w:sz w:val="24"/>
          <w:szCs w:val="24"/>
        </w:rPr>
        <w:t>2．项目管理要求</w:t>
      </w:r>
    </w:p>
    <w:p>
      <w:pPr>
        <w:pStyle w:val="38"/>
        <w:numPr>
          <w:ilvl w:val="0"/>
          <w:numId w:val="0"/>
        </w:numPr>
        <w:spacing w:line="560" w:lineRule="exact"/>
        <w:ind w:firstLine="480" w:firstLineChars="200"/>
        <w:rPr>
          <w:rFonts w:hAnsi="宋体"/>
          <w:kern w:val="2"/>
          <w:sz w:val="24"/>
          <w:szCs w:val="24"/>
        </w:rPr>
      </w:pPr>
      <w:r>
        <w:rPr>
          <w:rFonts w:hint="eastAsia" w:hAnsi="宋体"/>
          <w:kern w:val="2"/>
          <w:sz w:val="24"/>
          <w:szCs w:val="24"/>
        </w:rPr>
        <w:t>严格按照项目实施规划方案进行项目管理，积极协调设备相关资源，项目实施进度及时反馈，制定严格的项目质量管理制度，确保设备的质量品质。</w:t>
      </w:r>
    </w:p>
    <w:p>
      <w:pPr>
        <w:pStyle w:val="38"/>
        <w:numPr>
          <w:ilvl w:val="0"/>
          <w:numId w:val="0"/>
        </w:numPr>
        <w:spacing w:line="560" w:lineRule="exact"/>
        <w:ind w:firstLine="480" w:firstLineChars="200"/>
        <w:rPr>
          <w:rFonts w:hAnsi="宋体"/>
          <w:kern w:val="2"/>
          <w:sz w:val="24"/>
          <w:szCs w:val="24"/>
        </w:rPr>
      </w:pPr>
      <w:r>
        <w:rPr>
          <w:rFonts w:hint="eastAsia" w:hAnsi="宋体"/>
          <w:kern w:val="2"/>
          <w:sz w:val="24"/>
          <w:szCs w:val="24"/>
        </w:rPr>
        <w:t>3．质量控制要求</w:t>
      </w:r>
    </w:p>
    <w:p>
      <w:pPr>
        <w:pStyle w:val="38"/>
        <w:numPr>
          <w:ilvl w:val="0"/>
          <w:numId w:val="0"/>
        </w:numPr>
        <w:spacing w:line="560" w:lineRule="exact"/>
        <w:ind w:firstLine="480" w:firstLineChars="200"/>
        <w:rPr>
          <w:rFonts w:hAnsi="宋体"/>
          <w:kern w:val="2"/>
          <w:sz w:val="24"/>
          <w:szCs w:val="24"/>
        </w:rPr>
      </w:pPr>
      <w:r>
        <w:rPr>
          <w:rFonts w:hint="eastAsia" w:hAnsi="宋体"/>
          <w:kern w:val="2"/>
          <w:sz w:val="24"/>
          <w:szCs w:val="24"/>
        </w:rPr>
        <w:t>必须保证产品的质量，加强对产品的质量控制，严格执行项目质量管理制度，所有设备必须经过检测合格后才可交付使用。</w:t>
      </w:r>
    </w:p>
    <w:p>
      <w:pPr>
        <w:numPr>
          <w:ilvl w:val="0"/>
          <w:numId w:val="0"/>
        </w:numPr>
        <w:spacing w:line="560" w:lineRule="exact"/>
        <w:ind w:left="420" w:leftChars="0"/>
        <w:rPr>
          <w:rFonts w:ascii="宋体" w:hAnsi="宋体"/>
          <w:b/>
          <w:bCs/>
          <w:sz w:val="24"/>
        </w:rPr>
      </w:pPr>
      <w:r>
        <w:rPr>
          <w:rFonts w:hint="eastAsia" w:ascii="宋体" w:hAnsi="宋体"/>
          <w:b/>
          <w:bCs/>
          <w:sz w:val="24"/>
          <w:lang w:val="en-US" w:eastAsia="zh-CN"/>
        </w:rPr>
        <w:t>六、</w:t>
      </w:r>
      <w:r>
        <w:rPr>
          <w:rFonts w:hint="eastAsia" w:ascii="宋体" w:hAnsi="宋体"/>
          <w:b/>
          <w:bCs/>
          <w:sz w:val="24"/>
        </w:rPr>
        <w:t>项目服务期限及进度安排</w:t>
      </w:r>
    </w:p>
    <w:p>
      <w:pPr>
        <w:pStyle w:val="38"/>
        <w:numPr>
          <w:ilvl w:val="0"/>
          <w:numId w:val="0"/>
        </w:numPr>
        <w:spacing w:line="560" w:lineRule="exact"/>
        <w:ind w:firstLine="422" w:firstLineChars="200"/>
        <w:rPr>
          <w:rFonts w:hAnsi="宋体"/>
          <w:kern w:val="2"/>
          <w:sz w:val="24"/>
          <w:szCs w:val="24"/>
        </w:rPr>
      </w:pPr>
      <w:r>
        <w:rPr>
          <w:rFonts w:hint="eastAsia"/>
          <w:b/>
          <w:bCs/>
        </w:rPr>
        <w:t>▲</w:t>
      </w:r>
      <w:r>
        <w:rPr>
          <w:rFonts w:hint="eastAsia" w:hAnsi="宋体"/>
          <w:kern w:val="2"/>
          <w:sz w:val="24"/>
          <w:szCs w:val="24"/>
        </w:rPr>
        <w:t>本项目服务期限为202</w:t>
      </w:r>
      <w:r>
        <w:rPr>
          <w:rFonts w:hAnsi="宋体"/>
          <w:kern w:val="2"/>
          <w:sz w:val="24"/>
          <w:szCs w:val="24"/>
        </w:rPr>
        <w:t>1</w:t>
      </w:r>
      <w:r>
        <w:rPr>
          <w:rFonts w:hint="eastAsia" w:hAnsi="宋体"/>
          <w:kern w:val="2"/>
          <w:sz w:val="24"/>
          <w:szCs w:val="24"/>
        </w:rPr>
        <w:t>年深圳市研究生考试期间，供应商需在考前一周将相关设备部署至相关考点，考试结束后负责拆除回收相关设备。</w:t>
      </w:r>
    </w:p>
    <w:p>
      <w:pPr>
        <w:numPr>
          <w:ilvl w:val="0"/>
          <w:numId w:val="0"/>
        </w:numPr>
        <w:spacing w:line="560" w:lineRule="exact"/>
        <w:ind w:left="420" w:leftChars="0"/>
        <w:rPr>
          <w:rFonts w:ascii="宋体" w:hAnsi="宋体"/>
          <w:b/>
          <w:bCs/>
          <w:sz w:val="24"/>
        </w:rPr>
      </w:pPr>
      <w:r>
        <w:rPr>
          <w:rFonts w:hint="eastAsia" w:ascii="宋体" w:hAnsi="宋体"/>
          <w:b/>
          <w:bCs/>
          <w:sz w:val="24"/>
          <w:lang w:val="en-US" w:eastAsia="zh-CN"/>
        </w:rPr>
        <w:t>七、</w:t>
      </w:r>
      <w:r>
        <w:rPr>
          <w:rFonts w:hint="eastAsia" w:ascii="宋体" w:hAnsi="宋体"/>
          <w:b/>
          <w:bCs/>
          <w:sz w:val="24"/>
        </w:rPr>
        <w:t>培训要求</w:t>
      </w:r>
    </w:p>
    <w:p>
      <w:pPr>
        <w:pStyle w:val="38"/>
        <w:numPr>
          <w:ilvl w:val="0"/>
          <w:numId w:val="0"/>
        </w:numPr>
        <w:spacing w:line="560" w:lineRule="exact"/>
        <w:ind w:firstLine="480" w:firstLineChars="200"/>
        <w:rPr>
          <w:rFonts w:hAnsi="宋体"/>
          <w:kern w:val="2"/>
          <w:sz w:val="24"/>
          <w:szCs w:val="24"/>
        </w:rPr>
      </w:pPr>
      <w:r>
        <w:rPr>
          <w:rFonts w:hint="eastAsia" w:hAnsi="宋体"/>
          <w:kern w:val="2"/>
          <w:sz w:val="24"/>
          <w:szCs w:val="24"/>
        </w:rPr>
        <w:t>1.培训对象：身份验证终端设备管理人员与各考点监考人员。</w:t>
      </w:r>
    </w:p>
    <w:p>
      <w:pPr>
        <w:pStyle w:val="38"/>
        <w:numPr>
          <w:ilvl w:val="0"/>
          <w:numId w:val="0"/>
        </w:numPr>
        <w:spacing w:line="560" w:lineRule="exact"/>
        <w:ind w:firstLine="480" w:firstLineChars="200"/>
        <w:rPr>
          <w:rFonts w:hAnsi="宋体"/>
          <w:kern w:val="2"/>
          <w:sz w:val="24"/>
          <w:szCs w:val="24"/>
        </w:rPr>
      </w:pPr>
      <w:r>
        <w:rPr>
          <w:rFonts w:hint="eastAsia" w:hAnsi="宋体"/>
          <w:kern w:val="2"/>
          <w:sz w:val="24"/>
          <w:szCs w:val="24"/>
        </w:rPr>
        <w:t>2.培训方式：</w:t>
      </w:r>
    </w:p>
    <w:p>
      <w:pPr>
        <w:pStyle w:val="38"/>
        <w:numPr>
          <w:ilvl w:val="0"/>
          <w:numId w:val="0"/>
        </w:numPr>
        <w:spacing w:line="560" w:lineRule="exact"/>
        <w:ind w:firstLine="480" w:firstLineChars="200"/>
        <w:rPr>
          <w:rFonts w:hAnsi="宋体"/>
          <w:kern w:val="2"/>
          <w:sz w:val="24"/>
          <w:szCs w:val="24"/>
        </w:rPr>
      </w:pPr>
      <w:r>
        <w:rPr>
          <w:rFonts w:hint="eastAsia" w:hAnsi="宋体"/>
          <w:kern w:val="2"/>
          <w:sz w:val="24"/>
          <w:szCs w:val="24"/>
        </w:rPr>
        <w:t>（1）现场培训：在考试前，安排专业技术人员在用户指定地点对相关人员提供操作培训；</w:t>
      </w:r>
    </w:p>
    <w:p>
      <w:pPr>
        <w:pStyle w:val="38"/>
        <w:numPr>
          <w:ilvl w:val="0"/>
          <w:numId w:val="0"/>
        </w:numPr>
        <w:spacing w:line="560" w:lineRule="exact"/>
        <w:ind w:firstLine="480" w:firstLineChars="200"/>
        <w:rPr>
          <w:rFonts w:hAnsi="宋体"/>
          <w:kern w:val="2"/>
          <w:sz w:val="24"/>
          <w:szCs w:val="24"/>
        </w:rPr>
      </w:pPr>
      <w:r>
        <w:rPr>
          <w:rFonts w:hint="eastAsia" w:hAnsi="宋体"/>
          <w:kern w:val="2"/>
          <w:sz w:val="24"/>
          <w:szCs w:val="24"/>
        </w:rPr>
        <w:t>（2）远程培训：通过视频会议、QQ、微信群技术交流等方式为相关人员提供远程培训；</w:t>
      </w:r>
    </w:p>
    <w:p>
      <w:pPr>
        <w:pStyle w:val="38"/>
        <w:numPr>
          <w:ilvl w:val="0"/>
          <w:numId w:val="0"/>
        </w:numPr>
        <w:spacing w:line="560" w:lineRule="exact"/>
        <w:ind w:firstLine="480" w:firstLineChars="200"/>
        <w:rPr>
          <w:rFonts w:hAnsi="宋体"/>
          <w:kern w:val="2"/>
          <w:sz w:val="24"/>
          <w:szCs w:val="24"/>
        </w:rPr>
      </w:pPr>
      <w:r>
        <w:rPr>
          <w:rFonts w:hint="eastAsia" w:hAnsi="宋体"/>
          <w:kern w:val="2"/>
          <w:sz w:val="24"/>
          <w:szCs w:val="24"/>
        </w:rPr>
        <w:t>2.培训内容：为相关人员提供系统基本介绍、设备操作流程以及常见故障处理等培训内容。</w:t>
      </w:r>
    </w:p>
    <w:p>
      <w:pPr>
        <w:numPr>
          <w:ilvl w:val="0"/>
          <w:numId w:val="0"/>
        </w:numPr>
        <w:spacing w:line="560" w:lineRule="exact"/>
        <w:ind w:left="420" w:leftChars="0"/>
        <w:rPr>
          <w:rFonts w:ascii="宋体" w:hAnsi="宋体"/>
          <w:b/>
          <w:bCs/>
          <w:sz w:val="24"/>
        </w:rPr>
      </w:pPr>
      <w:r>
        <w:rPr>
          <w:rFonts w:hint="eastAsia" w:ascii="宋体" w:hAnsi="宋体"/>
          <w:b/>
          <w:bCs/>
          <w:sz w:val="24"/>
          <w:lang w:val="en-US" w:eastAsia="zh-CN"/>
        </w:rPr>
        <w:t>八、</w:t>
      </w:r>
      <w:r>
        <w:rPr>
          <w:rFonts w:hint="eastAsia" w:ascii="宋体" w:hAnsi="宋体"/>
          <w:b/>
          <w:bCs/>
          <w:sz w:val="24"/>
        </w:rPr>
        <w:t>现场保障及售后服务要求</w:t>
      </w:r>
    </w:p>
    <w:p>
      <w:pPr>
        <w:pStyle w:val="38"/>
        <w:numPr>
          <w:ilvl w:val="0"/>
          <w:numId w:val="0"/>
        </w:numPr>
        <w:spacing w:line="560" w:lineRule="exact"/>
        <w:ind w:firstLine="480" w:firstLineChars="200"/>
        <w:rPr>
          <w:rFonts w:hAnsi="宋体"/>
          <w:kern w:val="2"/>
          <w:sz w:val="24"/>
          <w:szCs w:val="24"/>
        </w:rPr>
      </w:pPr>
      <w:r>
        <w:rPr>
          <w:rFonts w:hint="eastAsia" w:hAnsi="宋体"/>
          <w:kern w:val="2"/>
          <w:sz w:val="24"/>
          <w:szCs w:val="24"/>
        </w:rPr>
        <w:t>保障人员须在考前、考中、考后完成及身份验证系统的相应保障工作，考试期间根据用户需求，选择性驻守考场,实时上报考试相关数据，应对紧急情况，系统故障响应时限5分钟内，故障解决时限1小时。保证考试能够正常进行。</w:t>
      </w:r>
    </w:p>
    <w:p>
      <w:pPr>
        <w:numPr>
          <w:ilvl w:val="0"/>
          <w:numId w:val="0"/>
        </w:numPr>
        <w:spacing w:line="560" w:lineRule="exact"/>
        <w:ind w:left="420" w:leftChars="0"/>
        <w:rPr>
          <w:rFonts w:ascii="宋体" w:hAnsi="宋体"/>
          <w:b/>
          <w:bCs/>
          <w:sz w:val="24"/>
        </w:rPr>
      </w:pPr>
      <w:r>
        <w:rPr>
          <w:rFonts w:hint="eastAsia" w:ascii="宋体" w:hAnsi="宋体"/>
          <w:b/>
          <w:bCs/>
          <w:sz w:val="24"/>
          <w:lang w:val="en-US" w:eastAsia="zh-CN"/>
        </w:rPr>
        <w:t>九、</w:t>
      </w:r>
      <w:r>
        <w:rPr>
          <w:rFonts w:hint="eastAsia" w:ascii="宋体" w:hAnsi="宋体"/>
          <w:b/>
          <w:bCs/>
          <w:sz w:val="24"/>
        </w:rPr>
        <w:t>验收要求</w:t>
      </w:r>
    </w:p>
    <w:p>
      <w:pPr>
        <w:pStyle w:val="38"/>
        <w:numPr>
          <w:ilvl w:val="0"/>
          <w:numId w:val="0"/>
        </w:numPr>
        <w:spacing w:line="560" w:lineRule="exact"/>
        <w:ind w:firstLine="480" w:firstLineChars="200"/>
        <w:rPr>
          <w:rFonts w:hAnsi="宋体"/>
          <w:kern w:val="2"/>
          <w:sz w:val="24"/>
          <w:szCs w:val="24"/>
        </w:rPr>
      </w:pPr>
      <w:r>
        <w:rPr>
          <w:rFonts w:hint="eastAsia" w:hAnsi="宋体"/>
          <w:kern w:val="2"/>
          <w:sz w:val="24"/>
          <w:szCs w:val="24"/>
        </w:rPr>
        <w:t>项目验收时需提供设备的产品合格证明、详细的操作文档等技术资料。</w:t>
      </w:r>
    </w:p>
    <w:p>
      <w:pPr>
        <w:pStyle w:val="2"/>
        <w:jc w:val="both"/>
      </w:pPr>
    </w:p>
    <w:p/>
    <w:p>
      <w:pPr>
        <w:pStyle w:val="2"/>
      </w:pPr>
      <w:r>
        <w:br w:type="page"/>
      </w:r>
    </w:p>
    <w:p>
      <w:pPr>
        <w:spacing w:line="560" w:lineRule="exact"/>
        <w:rPr>
          <w:rFonts w:ascii="方正小标宋简体" w:eastAsia="方正小标宋简体"/>
          <w:sz w:val="24"/>
        </w:rPr>
      </w:pPr>
      <w:r>
        <w:rPr>
          <w:rFonts w:hint="eastAsia" w:ascii="方正小标宋简体" w:eastAsia="方正小标宋简体"/>
          <w:sz w:val="24"/>
        </w:rPr>
        <w:t>附件2</w:t>
      </w:r>
    </w:p>
    <w:p>
      <w:pPr>
        <w:spacing w:line="580" w:lineRule="exact"/>
        <w:jc w:val="center"/>
        <w:rPr>
          <w:rFonts w:ascii="小标宋" w:hAnsi="宋体" w:eastAsia="小标宋" w:cs="方正小标宋简体"/>
          <w:sz w:val="44"/>
          <w:szCs w:val="44"/>
        </w:rPr>
      </w:pPr>
      <w:r>
        <w:rPr>
          <w:rFonts w:hint="eastAsia" w:ascii="小标宋" w:hAnsi="宋体" w:eastAsia="小标宋" w:cs="方正小标宋简体"/>
          <w:sz w:val="44"/>
          <w:szCs w:val="44"/>
        </w:rPr>
        <w:t>承  诺  书</w:t>
      </w:r>
    </w:p>
    <w:p>
      <w:pPr>
        <w:spacing w:line="580" w:lineRule="exact"/>
        <w:jc w:val="center"/>
        <w:rPr>
          <w:rFonts w:ascii="小标宋" w:hAnsi="宋体" w:eastAsia="小标宋" w:cs="楷体_GB2312"/>
          <w:sz w:val="32"/>
          <w:szCs w:val="32"/>
        </w:rPr>
      </w:pPr>
      <w:r>
        <w:rPr>
          <w:rFonts w:hint="eastAsia" w:ascii="小标宋" w:hAnsi="宋体" w:eastAsia="小标宋" w:cs="楷体_GB2312"/>
          <w:sz w:val="32"/>
          <w:szCs w:val="32"/>
        </w:rPr>
        <w:t>（与投标文件同时提交）</w:t>
      </w:r>
    </w:p>
    <w:p>
      <w:pPr>
        <w:spacing w:line="580" w:lineRule="exact"/>
        <w:rPr>
          <w:rFonts w:ascii="仿宋_GB2312" w:hAnsi="仿宋_GB2312" w:eastAsia="仿宋_GB2312" w:cs="仿宋_GB2312"/>
          <w:sz w:val="32"/>
          <w:szCs w:val="32"/>
        </w:rPr>
      </w:pP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本公司郑重承诺：</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一、遵循公开、公平、公正和诚实信用的原则参加深圳市招生考试办公室投标活动；</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二、所提供的一切材料都是真实、有效、合法的；</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三、不与其他投标人相互串通投标报价，不排挤其他投标人的公平竞争，损害招标人或其他投标人的合法权益；</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四、不与招标人或招标代理机构串通投标，损害国家利益、社会公共利益或者他人的合法权益；</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五、不向招标人或者评标成员行贿以牟取中标；</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六、不以他人名义投标或者以其他方式弄虚作假，骗取中标；</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七、不出卖资质，让他人挂靠投标</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rPr>
        <w:t>不得将本项目承包给第三方</w:t>
      </w:r>
      <w:r>
        <w:rPr>
          <w:rFonts w:hint="eastAsia" w:ascii="仿宋_GB2312" w:hAnsi="仿宋_GB2312" w:eastAsia="仿宋_GB2312" w:cs="仿宋_GB2312"/>
          <w:sz w:val="24"/>
        </w:rPr>
        <w:t>；</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八、不恶意压低或抬高投标报价；</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九、不在开标后进行虚假恶意投诉；</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十、按时参加标前答疑、按时递交投标文件，不在招标文件规定的投标有效期内随意撤回投标；</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十一、在规定期限内与采购单位签订合同，在规定期限内履行合同条款。</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本公司若有违反本承诺内容的行为，愿意承担法律责任，包括接受相关行政主管部门作出的处罚。</w:t>
      </w:r>
    </w:p>
    <w:p>
      <w:pPr>
        <w:spacing w:line="360" w:lineRule="auto"/>
        <w:ind w:firstLine="480" w:firstLineChars="200"/>
        <w:rPr>
          <w:rFonts w:ascii="仿宋_GB2312" w:hAnsi="仿宋_GB2312" w:eastAsia="仿宋_GB2312" w:cs="仿宋_GB2312"/>
          <w:sz w:val="24"/>
        </w:rPr>
      </w:pPr>
    </w:p>
    <w:p>
      <w:pPr>
        <w:spacing w:line="360" w:lineRule="auto"/>
        <w:ind w:firstLine="480" w:firstLineChars="200"/>
        <w:rPr>
          <w:rFonts w:ascii="仿宋_GB2312" w:hAnsi="仿宋_GB2312" w:eastAsia="仿宋_GB2312" w:cs="仿宋_GB2312"/>
          <w:sz w:val="24"/>
        </w:rPr>
      </w:pPr>
    </w:p>
    <w:p>
      <w:pPr>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 xml:space="preserve">                                    法定代表人（签字）：</w:t>
      </w:r>
    </w:p>
    <w:p>
      <w:pPr>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 xml:space="preserve">                                    投 标 单 位（盖章）：</w:t>
      </w:r>
    </w:p>
    <w:p>
      <w:pPr>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p>
      <w:pPr>
        <w:spacing w:line="360" w:lineRule="auto"/>
        <w:ind w:firstLine="480" w:firstLineChars="200"/>
        <w:rPr>
          <w:rFonts w:ascii="宋体" w:hAnsi="宋体"/>
          <w:kern w:val="0"/>
          <w:sz w:val="24"/>
        </w:rPr>
      </w:pPr>
    </w:p>
    <w:p>
      <w:r>
        <w:br w:type="page"/>
      </w:r>
    </w:p>
    <w:p>
      <w:pPr>
        <w:rPr>
          <w:rFonts w:ascii="方正小标宋简体" w:eastAsia="方正小标宋简体"/>
          <w:sz w:val="24"/>
        </w:rPr>
      </w:pPr>
      <w:r>
        <w:rPr>
          <w:rFonts w:hint="eastAsia" w:ascii="方正小标宋简体" w:eastAsia="方正小标宋简体"/>
          <w:sz w:val="24"/>
        </w:rPr>
        <w:t>附件 3</w:t>
      </w:r>
    </w:p>
    <w:p>
      <w:pPr>
        <w:rPr>
          <w:rFonts w:ascii="方正小标宋简体" w:eastAsia="方正小标宋简体"/>
          <w:sz w:val="24"/>
        </w:rPr>
      </w:pPr>
    </w:p>
    <w:p>
      <w:pPr>
        <w:keepNext/>
        <w:keepLines/>
        <w:spacing w:before="260" w:after="260"/>
        <w:jc w:val="center"/>
        <w:outlineLvl w:val="2"/>
        <w:rPr>
          <w:rFonts w:ascii="黑体" w:hAnsi="宋体" w:eastAsia="黑体"/>
          <w:bCs/>
          <w:sz w:val="32"/>
          <w:szCs w:val="32"/>
        </w:rPr>
      </w:pPr>
      <w:r>
        <w:rPr>
          <w:rFonts w:hint="eastAsia" w:ascii="黑体" w:hAnsi="宋体" w:eastAsia="黑体"/>
          <w:bCs/>
          <w:sz w:val="32"/>
          <w:szCs w:val="32"/>
        </w:rPr>
        <w:t>技术规格偏离表</w:t>
      </w:r>
    </w:p>
    <w:tbl>
      <w:tblPr>
        <w:tblStyle w:val="15"/>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484"/>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r>
              <w:rPr>
                <w:rFonts w:hint="eastAsia"/>
                <w:sz w:val="24"/>
              </w:rPr>
              <w:t>序号</w:t>
            </w:r>
          </w:p>
        </w:tc>
        <w:tc>
          <w:tcPr>
            <w:tcW w:w="1356" w:type="dxa"/>
          </w:tcPr>
          <w:p>
            <w:pPr>
              <w:rPr>
                <w:sz w:val="24"/>
              </w:rPr>
            </w:pPr>
            <w:r>
              <w:rPr>
                <w:rFonts w:hint="eastAsia"/>
                <w:sz w:val="24"/>
              </w:rPr>
              <w:t>项目名称</w:t>
            </w:r>
          </w:p>
        </w:tc>
        <w:tc>
          <w:tcPr>
            <w:tcW w:w="1356" w:type="dxa"/>
          </w:tcPr>
          <w:p>
            <w:pPr>
              <w:rPr>
                <w:sz w:val="24"/>
              </w:rPr>
            </w:pPr>
            <w:r>
              <w:rPr>
                <w:rFonts w:hint="eastAsia"/>
                <w:sz w:val="24"/>
              </w:rPr>
              <w:t>招标技术要求</w:t>
            </w:r>
          </w:p>
        </w:tc>
        <w:tc>
          <w:tcPr>
            <w:tcW w:w="1356" w:type="dxa"/>
          </w:tcPr>
          <w:p>
            <w:pPr>
              <w:rPr>
                <w:sz w:val="24"/>
              </w:rPr>
            </w:pPr>
            <w:r>
              <w:rPr>
                <w:rFonts w:hint="eastAsia"/>
                <w:sz w:val="24"/>
              </w:rPr>
              <w:t>投标技术响应</w:t>
            </w:r>
          </w:p>
        </w:tc>
        <w:tc>
          <w:tcPr>
            <w:tcW w:w="1484" w:type="dxa"/>
          </w:tcPr>
          <w:p>
            <w:pPr>
              <w:rPr>
                <w:sz w:val="24"/>
              </w:rPr>
            </w:pPr>
            <w:r>
              <w:rPr>
                <w:rFonts w:hint="eastAsia"/>
                <w:sz w:val="24"/>
              </w:rPr>
              <w:t>偏离情况</w:t>
            </w:r>
          </w:p>
        </w:tc>
        <w:tc>
          <w:tcPr>
            <w:tcW w:w="1530" w:type="dxa"/>
          </w:tcPr>
          <w:p>
            <w:pP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bl>
    <w:p/>
    <w:sectPr>
      <w:pgSz w:w="11906" w:h="16838"/>
      <w:pgMar w:top="1440" w:right="2006" w:bottom="1440" w:left="16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64663"/>
    <w:multiLevelType w:val="multilevel"/>
    <w:tmpl w:val="82664663"/>
    <w:lvl w:ilvl="0" w:tentative="0">
      <w:start w:val="1"/>
      <w:numFmt w:val="decimal"/>
      <w:lvlText w:val="%1."/>
      <w:lvlJc w:val="left"/>
      <w:pPr>
        <w:ind w:left="420" w:hanging="420"/>
      </w:pPr>
      <w:rPr>
        <w:rFonts w:hint="default" w:ascii="Times New Roman" w:hAnsi="Times New Roman" w:cs="Times New Roman"/>
        <w:b w:val="0"/>
        <w:bCs w:val="0"/>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
    <w:nsid w:val="0F1A1A64"/>
    <w:multiLevelType w:val="multilevel"/>
    <w:tmpl w:val="0F1A1A64"/>
    <w:lvl w:ilvl="0" w:tentative="0">
      <w:start w:val="2"/>
      <w:numFmt w:val="decimal"/>
      <w:suff w:val="nothing"/>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
    <w:nsid w:val="3E592662"/>
    <w:multiLevelType w:val="multilevel"/>
    <w:tmpl w:val="3E592662"/>
    <w:lvl w:ilvl="0" w:tentative="0">
      <w:start w:val="1"/>
      <w:numFmt w:val="decimal"/>
      <w:pStyle w:val="3"/>
      <w:lvlText w:val="%1."/>
      <w:lvlJc w:val="left"/>
      <w:pPr>
        <w:ind w:left="420" w:hanging="420"/>
      </w:pPr>
      <w:rPr>
        <w:rFonts w:hint="eastAsia"/>
        <w:b/>
        <w:i w:val="0"/>
        <w:sz w:val="52"/>
        <w:szCs w:val="52"/>
      </w:rPr>
    </w:lvl>
    <w:lvl w:ilvl="1" w:tentative="0">
      <w:start w:val="1"/>
      <w:numFmt w:val="decimal"/>
      <w:pStyle w:val="4"/>
      <w:suff w:val="space"/>
      <w:lvlText w:val="%1.%2"/>
      <w:lvlJc w:val="left"/>
      <w:pPr>
        <w:ind w:left="142" w:firstLine="0"/>
      </w:pPr>
      <w:rPr>
        <w:rFonts w:hint="default" w:ascii="Times New Roman" w:hAnsi="Times New Roman" w:cs="Times New Roman"/>
        <w:b/>
        <w:i w:val="0"/>
        <w:sz w:val="32"/>
      </w:rPr>
    </w:lvl>
    <w:lvl w:ilvl="2" w:tentative="0">
      <w:start w:val="1"/>
      <w:numFmt w:val="decimal"/>
      <w:pStyle w:val="5"/>
      <w:suff w:val="space"/>
      <w:lvlText w:val="%1.%2.%3"/>
      <w:lvlJc w:val="left"/>
      <w:pPr>
        <w:ind w:left="0" w:firstLine="0"/>
      </w:pPr>
      <w:rPr>
        <w:rFonts w:hint="default" w:ascii="Times New Roman" w:hAnsi="Times New Roman" w:eastAsia="宋体" w:cs="Times New Roman"/>
        <w:b/>
        <w:i w:val="0"/>
        <w:sz w:val="30"/>
      </w:rPr>
    </w:lvl>
    <w:lvl w:ilvl="3" w:tentative="0">
      <w:start w:val="1"/>
      <w:numFmt w:val="decimal"/>
      <w:pStyle w:val="6"/>
      <w:suff w:val="nothing"/>
      <w:lvlText w:val="%1.%2.%3.%4"/>
      <w:lvlJc w:val="left"/>
      <w:pPr>
        <w:ind w:left="0" w:firstLine="0"/>
      </w:pPr>
      <w:rPr>
        <w:rFonts w:hint="eastAsia"/>
        <w:b w:val="0"/>
        <w:bCs w:val="0"/>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pStyle w:val="7"/>
      <w:suff w:val="nothing"/>
      <w:lvlText w:val="%1.%2.%3.%4.%5 "/>
      <w:lvlJc w:val="left"/>
      <w:pPr>
        <w:ind w:left="0" w:firstLine="0"/>
      </w:pPr>
      <w:rPr>
        <w:rFonts w:hint="default" w:ascii="Times New Roman" w:hAnsi="Times New Roman" w:cs="Times New Roman"/>
        <w:b/>
        <w:i w:val="0"/>
        <w:sz w:val="24"/>
      </w:rPr>
    </w:lvl>
    <w:lvl w:ilvl="5" w:tentative="0">
      <w:start w:val="1"/>
      <w:numFmt w:val="decimal"/>
      <w:pStyle w:val="8"/>
      <w:suff w:val="nothing"/>
      <w:lvlText w:val="%1.%2.%3.%4.%5.%6"/>
      <w:lvlJc w:val="left"/>
      <w:pPr>
        <w:ind w:left="708" w:firstLine="0"/>
      </w:pPr>
      <w:rPr>
        <w:b w:val="0"/>
        <w:bCs w:val="0"/>
        <w:i w:val="0"/>
        <w:iCs w:val="0"/>
        <w:caps w:val="0"/>
        <w:smallCaps w:val="0"/>
        <w:strike w:val="0"/>
        <w:dstrike w:val="0"/>
        <w:outline w:val="0"/>
        <w:shadow w:val="0"/>
        <w:emboss w:val="0"/>
        <w:imprint w:val="0"/>
        <w:vanish w:val="0"/>
        <w:spacing w:val="0"/>
        <w:position w:val="0"/>
        <w:u w:val="none"/>
        <w:vertAlign w:val="baseline"/>
      </w:rPr>
    </w:lvl>
    <w:lvl w:ilvl="6" w:tentative="0">
      <w:start w:val="1"/>
      <w:numFmt w:val="decimal"/>
      <w:pStyle w:val="9"/>
      <w:suff w:val="nothing"/>
      <w:lvlText w:val="%1.%2.%3.%4.%5.%6.%7"/>
      <w:lvlJc w:val="left"/>
      <w:pPr>
        <w:ind w:left="1702" w:firstLine="0"/>
      </w:pPr>
      <w:rPr>
        <w:rFonts w:hint="eastAsia"/>
      </w:rPr>
    </w:lvl>
    <w:lvl w:ilvl="7" w:tentative="0">
      <w:start w:val="1"/>
      <w:numFmt w:val="none"/>
      <w:suff w:val="nothing"/>
      <w:lvlText w:val=""/>
      <w:lvlJc w:val="left"/>
      <w:pPr>
        <w:ind w:left="708" w:firstLine="0"/>
      </w:pPr>
      <w:rPr>
        <w:rFonts w:hint="eastAsia"/>
      </w:rPr>
    </w:lvl>
    <w:lvl w:ilvl="8" w:tentative="0">
      <w:start w:val="1"/>
      <w:numFmt w:val="none"/>
      <w:suff w:val="nothing"/>
      <w:lvlText w:val=""/>
      <w:lvlJc w:val="left"/>
      <w:pPr>
        <w:ind w:left="708" w:firstLine="0"/>
      </w:pPr>
      <w:rPr>
        <w:rFonts w:hint="eastAsia"/>
      </w:rPr>
    </w:lvl>
  </w:abstractNum>
  <w:abstractNum w:abstractNumId="3">
    <w:nsid w:val="4AC95138"/>
    <w:multiLevelType w:val="multilevel"/>
    <w:tmpl w:val="4AC95138"/>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
    <w:nsid w:val="76F44918"/>
    <w:multiLevelType w:val="multilevel"/>
    <w:tmpl w:val="76F44918"/>
    <w:lvl w:ilvl="0" w:tentative="0">
      <w:start w:val="1"/>
      <w:numFmt w:val="lowerLetter"/>
      <w:pStyle w:val="38"/>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kOGM4ZGM1ZDFmYzY2ZjM4ZThhNGQ3ZjZiZmU4MDQifQ=="/>
  </w:docVars>
  <w:rsids>
    <w:rsidRoot w:val="00E874DD"/>
    <w:rsid w:val="000A2858"/>
    <w:rsid w:val="001061C2"/>
    <w:rsid w:val="001365DE"/>
    <w:rsid w:val="0014780C"/>
    <w:rsid w:val="00187B2B"/>
    <w:rsid w:val="001A58D5"/>
    <w:rsid w:val="00206E6A"/>
    <w:rsid w:val="00234250"/>
    <w:rsid w:val="00256251"/>
    <w:rsid w:val="00274D2D"/>
    <w:rsid w:val="002B188C"/>
    <w:rsid w:val="00366820"/>
    <w:rsid w:val="00440A69"/>
    <w:rsid w:val="0047643A"/>
    <w:rsid w:val="00504477"/>
    <w:rsid w:val="00514D01"/>
    <w:rsid w:val="00546306"/>
    <w:rsid w:val="006539D3"/>
    <w:rsid w:val="006A22BE"/>
    <w:rsid w:val="006C55BB"/>
    <w:rsid w:val="006F4B4B"/>
    <w:rsid w:val="007D68AA"/>
    <w:rsid w:val="00862B9C"/>
    <w:rsid w:val="0089562D"/>
    <w:rsid w:val="009058FE"/>
    <w:rsid w:val="00937B9A"/>
    <w:rsid w:val="009A6A01"/>
    <w:rsid w:val="009C1251"/>
    <w:rsid w:val="009E187F"/>
    <w:rsid w:val="00A1787D"/>
    <w:rsid w:val="00A936E3"/>
    <w:rsid w:val="00AD2586"/>
    <w:rsid w:val="00B37272"/>
    <w:rsid w:val="00BA2323"/>
    <w:rsid w:val="00BD345F"/>
    <w:rsid w:val="00BF529C"/>
    <w:rsid w:val="00C01B43"/>
    <w:rsid w:val="00CB4F4B"/>
    <w:rsid w:val="00D55171"/>
    <w:rsid w:val="00D77F6F"/>
    <w:rsid w:val="00E0355A"/>
    <w:rsid w:val="00E7570F"/>
    <w:rsid w:val="00E764BE"/>
    <w:rsid w:val="00E874DD"/>
    <w:rsid w:val="00EF6979"/>
    <w:rsid w:val="00F14698"/>
    <w:rsid w:val="00F26540"/>
    <w:rsid w:val="00F86517"/>
    <w:rsid w:val="00FB63A4"/>
    <w:rsid w:val="00FE2987"/>
    <w:rsid w:val="029C645F"/>
    <w:rsid w:val="033477D8"/>
    <w:rsid w:val="040769B4"/>
    <w:rsid w:val="06E558C0"/>
    <w:rsid w:val="09B24F76"/>
    <w:rsid w:val="0B0A67BB"/>
    <w:rsid w:val="0B123410"/>
    <w:rsid w:val="0B3044F8"/>
    <w:rsid w:val="0BB61726"/>
    <w:rsid w:val="0C9E383E"/>
    <w:rsid w:val="10304B41"/>
    <w:rsid w:val="117E70D9"/>
    <w:rsid w:val="170B5FEB"/>
    <w:rsid w:val="1A216666"/>
    <w:rsid w:val="1C2C4810"/>
    <w:rsid w:val="1D916F19"/>
    <w:rsid w:val="1E3D4BD0"/>
    <w:rsid w:val="1F516372"/>
    <w:rsid w:val="20190F95"/>
    <w:rsid w:val="21354626"/>
    <w:rsid w:val="226452F3"/>
    <w:rsid w:val="25C70668"/>
    <w:rsid w:val="2801524C"/>
    <w:rsid w:val="29D84FBF"/>
    <w:rsid w:val="2A106A13"/>
    <w:rsid w:val="2A92062E"/>
    <w:rsid w:val="2B3B4E89"/>
    <w:rsid w:val="2BC952DB"/>
    <w:rsid w:val="2C9E6EC0"/>
    <w:rsid w:val="2D5A2D3A"/>
    <w:rsid w:val="30424B5C"/>
    <w:rsid w:val="33B365F2"/>
    <w:rsid w:val="3772688A"/>
    <w:rsid w:val="3CB452D3"/>
    <w:rsid w:val="404A0A7A"/>
    <w:rsid w:val="44603F19"/>
    <w:rsid w:val="48A56DCE"/>
    <w:rsid w:val="4B5607E3"/>
    <w:rsid w:val="4E0E5DC3"/>
    <w:rsid w:val="4E2C69CB"/>
    <w:rsid w:val="4EC436C7"/>
    <w:rsid w:val="4F441EE1"/>
    <w:rsid w:val="55F832F3"/>
    <w:rsid w:val="56F744F2"/>
    <w:rsid w:val="598F14FE"/>
    <w:rsid w:val="640E6343"/>
    <w:rsid w:val="65FE2633"/>
    <w:rsid w:val="67700DB2"/>
    <w:rsid w:val="6CB866DB"/>
    <w:rsid w:val="70BB64C3"/>
    <w:rsid w:val="764E6104"/>
    <w:rsid w:val="7AC71CCF"/>
    <w:rsid w:val="7BC46326"/>
    <w:rsid w:val="7D4C5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keepNext/>
      <w:keepLines/>
      <w:numPr>
        <w:ilvl w:val="0"/>
        <w:numId w:val="1"/>
      </w:numPr>
      <w:spacing w:before="340" w:after="330" w:line="578" w:lineRule="auto"/>
      <w:jc w:val="left"/>
      <w:outlineLvl w:val="0"/>
    </w:pPr>
    <w:rPr>
      <w:b/>
      <w:bCs/>
      <w:kern w:val="44"/>
      <w:sz w:val="44"/>
      <w:szCs w:val="44"/>
      <w:lang w:val="zh-CN"/>
    </w:rPr>
  </w:style>
  <w:style w:type="paragraph" w:styleId="4">
    <w:name w:val="heading 2"/>
    <w:basedOn w:val="1"/>
    <w:next w:val="1"/>
    <w:link w:val="20"/>
    <w:qFormat/>
    <w:uiPriority w:val="0"/>
    <w:pPr>
      <w:keepNext/>
      <w:keepLines/>
      <w:numPr>
        <w:ilvl w:val="1"/>
        <w:numId w:val="1"/>
      </w:numPr>
      <w:spacing w:before="260" w:after="260" w:line="416" w:lineRule="auto"/>
      <w:outlineLvl w:val="1"/>
    </w:pPr>
    <w:rPr>
      <w:rFonts w:ascii="Cambria" w:hAnsi="Cambria"/>
      <w:b/>
      <w:bCs/>
      <w:kern w:val="0"/>
      <w:sz w:val="32"/>
      <w:szCs w:val="32"/>
      <w:lang w:val="zh-CN"/>
    </w:rPr>
  </w:style>
  <w:style w:type="paragraph" w:styleId="5">
    <w:name w:val="heading 3"/>
    <w:basedOn w:val="1"/>
    <w:next w:val="1"/>
    <w:link w:val="21"/>
    <w:unhideWhenUsed/>
    <w:qFormat/>
    <w:uiPriority w:val="0"/>
    <w:pPr>
      <w:keepNext/>
      <w:keepLines/>
      <w:numPr>
        <w:ilvl w:val="2"/>
        <w:numId w:val="1"/>
      </w:numPr>
      <w:spacing w:before="260" w:after="260" w:line="415" w:lineRule="auto"/>
      <w:outlineLvl w:val="2"/>
    </w:pPr>
    <w:rPr>
      <w:b/>
      <w:bCs/>
      <w:kern w:val="0"/>
      <w:sz w:val="32"/>
      <w:szCs w:val="32"/>
      <w:lang w:val="zh-CN"/>
    </w:rPr>
  </w:style>
  <w:style w:type="paragraph" w:styleId="6">
    <w:name w:val="heading 4"/>
    <w:basedOn w:val="1"/>
    <w:next w:val="1"/>
    <w:link w:val="22"/>
    <w:unhideWhenUsed/>
    <w:qFormat/>
    <w:uiPriority w:val="0"/>
    <w:pPr>
      <w:keepNext/>
      <w:keepLines/>
      <w:numPr>
        <w:ilvl w:val="3"/>
        <w:numId w:val="1"/>
      </w:numPr>
      <w:spacing w:before="280" w:after="290" w:line="376" w:lineRule="auto"/>
      <w:outlineLvl w:val="3"/>
    </w:pPr>
    <w:rPr>
      <w:rFonts w:ascii="Calibri Light" w:hAnsi="Calibri Light"/>
      <w:b/>
      <w:bCs/>
      <w:kern w:val="0"/>
      <w:sz w:val="28"/>
      <w:szCs w:val="28"/>
      <w:lang w:val="zh-CN"/>
    </w:rPr>
  </w:style>
  <w:style w:type="paragraph" w:styleId="7">
    <w:name w:val="heading 5"/>
    <w:basedOn w:val="1"/>
    <w:next w:val="1"/>
    <w:link w:val="23"/>
    <w:qFormat/>
    <w:uiPriority w:val="0"/>
    <w:pPr>
      <w:keepNext/>
      <w:keepLines/>
      <w:widowControl/>
      <w:numPr>
        <w:ilvl w:val="4"/>
        <w:numId w:val="1"/>
      </w:numPr>
      <w:spacing w:before="280" w:after="290" w:line="376" w:lineRule="auto"/>
      <w:jc w:val="left"/>
      <w:outlineLvl w:val="4"/>
    </w:pPr>
    <w:rPr>
      <w:rFonts w:ascii="宋体" w:hAnsi="宋体"/>
      <w:b/>
      <w:bCs/>
      <w:kern w:val="0"/>
      <w:sz w:val="28"/>
      <w:szCs w:val="28"/>
      <w:lang w:val="zh-CN"/>
    </w:rPr>
  </w:style>
  <w:style w:type="paragraph" w:styleId="8">
    <w:name w:val="heading 6"/>
    <w:basedOn w:val="1"/>
    <w:next w:val="1"/>
    <w:link w:val="24"/>
    <w:qFormat/>
    <w:uiPriority w:val="0"/>
    <w:pPr>
      <w:keepNext/>
      <w:keepLines/>
      <w:widowControl/>
      <w:numPr>
        <w:ilvl w:val="5"/>
        <w:numId w:val="1"/>
      </w:numPr>
      <w:spacing w:before="240" w:after="64" w:line="320" w:lineRule="auto"/>
      <w:ind w:left="0"/>
      <w:jc w:val="left"/>
      <w:outlineLvl w:val="5"/>
    </w:pPr>
    <w:rPr>
      <w:rFonts w:ascii="Arial" w:hAnsi="Arial" w:eastAsia="黑体"/>
      <w:b/>
      <w:bCs/>
      <w:spacing w:val="-5"/>
      <w:kern w:val="0"/>
      <w:sz w:val="24"/>
      <w:lang w:val="zh-CN" w:eastAsia="en-US"/>
    </w:rPr>
  </w:style>
  <w:style w:type="paragraph" w:styleId="9">
    <w:name w:val="heading 7"/>
    <w:basedOn w:val="1"/>
    <w:next w:val="1"/>
    <w:link w:val="25"/>
    <w:qFormat/>
    <w:uiPriority w:val="0"/>
    <w:pPr>
      <w:keepNext/>
      <w:keepLines/>
      <w:widowControl/>
      <w:numPr>
        <w:ilvl w:val="6"/>
        <w:numId w:val="1"/>
      </w:numPr>
      <w:spacing w:before="240" w:after="64" w:line="320" w:lineRule="auto"/>
      <w:ind w:left="0"/>
      <w:jc w:val="left"/>
      <w:outlineLvl w:val="6"/>
    </w:pPr>
    <w:rPr>
      <w:rFonts w:ascii="Arial" w:hAnsi="Arial"/>
      <w:b/>
      <w:bCs/>
      <w:spacing w:val="-5"/>
      <w:kern w:val="0"/>
      <w:sz w:val="24"/>
      <w:lang w:val="zh-CN"/>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jc w:val="center"/>
      <w:outlineLvl w:val="0"/>
    </w:pPr>
    <w:rPr>
      <w:rFonts w:ascii="Cambria" w:hAnsi="Cambria"/>
      <w:b/>
      <w:bCs/>
      <w:sz w:val="32"/>
      <w:szCs w:val="32"/>
    </w:rPr>
  </w:style>
  <w:style w:type="paragraph" w:styleId="10">
    <w:name w:val="Body Text"/>
    <w:basedOn w:val="1"/>
    <w:link w:val="32"/>
    <w:unhideWhenUsed/>
    <w:qFormat/>
    <w:uiPriority w:val="99"/>
    <w:pPr>
      <w:spacing w:after="120"/>
    </w:pPr>
  </w:style>
  <w:style w:type="paragraph" w:styleId="11">
    <w:name w:val="Plain Text"/>
    <w:basedOn w:val="1"/>
    <w:link w:val="29"/>
    <w:qFormat/>
    <w:uiPriority w:val="0"/>
    <w:rPr>
      <w:rFonts w:ascii="宋体" w:hAnsi="Courier New"/>
      <w:kern w:val="0"/>
      <w:sz w:val="20"/>
      <w:szCs w:val="20"/>
      <w:lang w:val="zh-CN"/>
    </w:rPr>
  </w:style>
  <w:style w:type="paragraph" w:styleId="12">
    <w:name w:val="footer"/>
    <w:basedOn w:val="1"/>
    <w:link w:val="27"/>
    <w:unhideWhenUsed/>
    <w:qFormat/>
    <w:uiPriority w:val="99"/>
    <w:pPr>
      <w:tabs>
        <w:tab w:val="center" w:pos="4153"/>
        <w:tab w:val="right" w:pos="8306"/>
      </w:tabs>
      <w:snapToGrid w:val="0"/>
      <w:jc w:val="left"/>
    </w:pPr>
    <w:rPr>
      <w:rFonts w:ascii="Calibri" w:hAnsi="Calibri"/>
      <w:kern w:val="0"/>
      <w:sz w:val="18"/>
      <w:szCs w:val="18"/>
      <w:lang w:val="zh-CN"/>
    </w:rPr>
  </w:style>
  <w:style w:type="paragraph" w:styleId="13">
    <w:name w:val="header"/>
    <w:basedOn w:val="1"/>
    <w:link w:val="26"/>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lang w:val="zh-CN"/>
    </w:rPr>
  </w:style>
  <w:style w:type="paragraph" w:styleId="14">
    <w:name w:val="Body Text First Indent"/>
    <w:basedOn w:val="10"/>
    <w:link w:val="33"/>
    <w:qFormat/>
    <w:uiPriority w:val="0"/>
    <w:pPr>
      <w:widowControl/>
      <w:ind w:firstLine="420" w:firstLineChars="100"/>
      <w:jc w:val="left"/>
    </w:pPr>
    <w:rPr>
      <w:kern w:val="0"/>
      <w:sz w:val="20"/>
      <w:szCs w:val="20"/>
      <w:lang w:val="zh-CN"/>
    </w:rPr>
  </w:style>
  <w:style w:type="table" w:styleId="16">
    <w:name w:val="Table Grid"/>
    <w:basedOn w:val="15"/>
    <w:unhideWhenUsed/>
    <w:qFormat/>
    <w:uiPriority w:val="99"/>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customStyle="1" w:styleId="19">
    <w:name w:val="标题 1 字符"/>
    <w:basedOn w:val="17"/>
    <w:link w:val="3"/>
    <w:qFormat/>
    <w:uiPriority w:val="0"/>
    <w:rPr>
      <w:rFonts w:ascii="Times New Roman" w:hAnsi="Times New Roman" w:eastAsia="宋体" w:cs="Times New Roman"/>
      <w:b/>
      <w:bCs/>
      <w:kern w:val="44"/>
      <w:sz w:val="44"/>
      <w:szCs w:val="44"/>
      <w:lang w:val="zh-CN" w:eastAsia="zh-CN"/>
    </w:rPr>
  </w:style>
  <w:style w:type="character" w:customStyle="1" w:styleId="20">
    <w:name w:val="标题 2 字符"/>
    <w:basedOn w:val="17"/>
    <w:link w:val="4"/>
    <w:qFormat/>
    <w:uiPriority w:val="0"/>
    <w:rPr>
      <w:rFonts w:ascii="Cambria" w:hAnsi="Cambria" w:eastAsia="宋体" w:cs="Times New Roman"/>
      <w:b/>
      <w:bCs/>
      <w:kern w:val="0"/>
      <w:sz w:val="32"/>
      <w:szCs w:val="32"/>
      <w:lang w:val="zh-CN" w:eastAsia="zh-CN"/>
    </w:rPr>
  </w:style>
  <w:style w:type="character" w:customStyle="1" w:styleId="21">
    <w:name w:val="标题 3 字符"/>
    <w:basedOn w:val="17"/>
    <w:link w:val="5"/>
    <w:qFormat/>
    <w:uiPriority w:val="0"/>
    <w:rPr>
      <w:rFonts w:ascii="Times New Roman" w:hAnsi="Times New Roman" w:eastAsia="宋体" w:cs="Times New Roman"/>
      <w:b/>
      <w:bCs/>
      <w:kern w:val="0"/>
      <w:sz w:val="32"/>
      <w:szCs w:val="32"/>
      <w:lang w:val="zh-CN" w:eastAsia="zh-CN"/>
    </w:rPr>
  </w:style>
  <w:style w:type="character" w:customStyle="1" w:styleId="22">
    <w:name w:val="标题 4 字符"/>
    <w:basedOn w:val="17"/>
    <w:link w:val="6"/>
    <w:qFormat/>
    <w:uiPriority w:val="0"/>
    <w:rPr>
      <w:rFonts w:ascii="Calibri Light" w:hAnsi="Calibri Light" w:eastAsia="宋体" w:cs="Times New Roman"/>
      <w:b/>
      <w:bCs/>
      <w:kern w:val="0"/>
      <w:sz w:val="28"/>
      <w:szCs w:val="28"/>
      <w:lang w:val="zh-CN" w:eastAsia="zh-CN"/>
    </w:rPr>
  </w:style>
  <w:style w:type="character" w:customStyle="1" w:styleId="23">
    <w:name w:val="标题 5 字符"/>
    <w:basedOn w:val="17"/>
    <w:link w:val="7"/>
    <w:qFormat/>
    <w:uiPriority w:val="0"/>
    <w:rPr>
      <w:rFonts w:ascii="宋体" w:hAnsi="宋体" w:eastAsia="宋体" w:cs="Times New Roman"/>
      <w:b/>
      <w:bCs/>
      <w:kern w:val="0"/>
      <w:sz w:val="28"/>
      <w:szCs w:val="28"/>
      <w:lang w:val="zh-CN" w:eastAsia="zh-CN"/>
    </w:rPr>
  </w:style>
  <w:style w:type="character" w:customStyle="1" w:styleId="24">
    <w:name w:val="标题 6 字符"/>
    <w:basedOn w:val="17"/>
    <w:link w:val="8"/>
    <w:qFormat/>
    <w:uiPriority w:val="0"/>
    <w:rPr>
      <w:rFonts w:ascii="Arial" w:hAnsi="Arial" w:eastAsia="黑体" w:cs="Times New Roman"/>
      <w:b/>
      <w:bCs/>
      <w:spacing w:val="-5"/>
      <w:kern w:val="0"/>
      <w:sz w:val="24"/>
      <w:szCs w:val="24"/>
      <w:lang w:val="zh-CN" w:eastAsia="en-US"/>
    </w:rPr>
  </w:style>
  <w:style w:type="character" w:customStyle="1" w:styleId="25">
    <w:name w:val="标题 7 字符"/>
    <w:basedOn w:val="17"/>
    <w:link w:val="9"/>
    <w:qFormat/>
    <w:uiPriority w:val="0"/>
    <w:rPr>
      <w:rFonts w:ascii="Arial" w:hAnsi="Arial" w:eastAsia="宋体" w:cs="Times New Roman"/>
      <w:b/>
      <w:bCs/>
      <w:spacing w:val="-5"/>
      <w:kern w:val="0"/>
      <w:sz w:val="24"/>
      <w:szCs w:val="24"/>
      <w:lang w:val="zh-CN" w:eastAsia="zh-CN"/>
    </w:rPr>
  </w:style>
  <w:style w:type="character" w:customStyle="1" w:styleId="26">
    <w:name w:val="页眉 字符"/>
    <w:basedOn w:val="17"/>
    <w:link w:val="13"/>
    <w:qFormat/>
    <w:uiPriority w:val="99"/>
    <w:rPr>
      <w:rFonts w:ascii="Calibri" w:hAnsi="Calibri" w:eastAsia="宋体" w:cs="Times New Roman"/>
      <w:kern w:val="0"/>
      <w:sz w:val="18"/>
      <w:szCs w:val="18"/>
      <w:lang w:val="zh-CN" w:eastAsia="zh-CN"/>
    </w:rPr>
  </w:style>
  <w:style w:type="character" w:customStyle="1" w:styleId="27">
    <w:name w:val="页脚 字符"/>
    <w:basedOn w:val="17"/>
    <w:link w:val="12"/>
    <w:qFormat/>
    <w:uiPriority w:val="99"/>
    <w:rPr>
      <w:rFonts w:ascii="Calibri" w:hAnsi="Calibri" w:eastAsia="宋体" w:cs="Times New Roman"/>
      <w:kern w:val="0"/>
      <w:sz w:val="18"/>
      <w:szCs w:val="18"/>
      <w:lang w:val="zh-CN" w:eastAsia="zh-CN"/>
    </w:rPr>
  </w:style>
  <w:style w:type="paragraph" w:customStyle="1" w:styleId="28">
    <w:name w:val="Block Quotation"/>
    <w:basedOn w:val="1"/>
    <w:next w:val="1"/>
    <w:qFormat/>
    <w:uiPriority w:val="0"/>
    <w:pPr>
      <w:autoSpaceDE w:val="0"/>
      <w:autoSpaceDN w:val="0"/>
      <w:adjustRightInd w:val="0"/>
      <w:spacing w:before="120" w:after="120"/>
      <w:jc w:val="left"/>
    </w:pPr>
    <w:rPr>
      <w:rFonts w:ascii="仿宋_GB2312" w:eastAsia="仿宋_GB2312"/>
      <w:kern w:val="0"/>
      <w:sz w:val="24"/>
    </w:rPr>
  </w:style>
  <w:style w:type="character" w:customStyle="1" w:styleId="29">
    <w:name w:val="纯文本 字符"/>
    <w:basedOn w:val="17"/>
    <w:link w:val="11"/>
    <w:qFormat/>
    <w:uiPriority w:val="0"/>
    <w:rPr>
      <w:rFonts w:ascii="宋体" w:hAnsi="Courier New" w:eastAsia="宋体" w:cs="Times New Roman"/>
      <w:kern w:val="0"/>
      <w:sz w:val="20"/>
      <w:szCs w:val="20"/>
      <w:lang w:val="zh-CN" w:eastAsia="zh-CN"/>
    </w:rPr>
  </w:style>
  <w:style w:type="paragraph" w:customStyle="1" w:styleId="30">
    <w:name w:val="彩色列表 - 强调文字颜色 11"/>
    <w:basedOn w:val="1"/>
    <w:qFormat/>
    <w:uiPriority w:val="34"/>
    <w:pPr>
      <w:ind w:firstLine="420" w:firstLineChars="200"/>
    </w:pPr>
  </w:style>
  <w:style w:type="paragraph" w:customStyle="1" w:styleId="31">
    <w:name w:val="列出段落1"/>
    <w:basedOn w:val="1"/>
    <w:qFormat/>
    <w:uiPriority w:val="34"/>
    <w:pPr>
      <w:ind w:firstLine="420" w:firstLineChars="200"/>
    </w:pPr>
  </w:style>
  <w:style w:type="character" w:customStyle="1" w:styleId="32">
    <w:name w:val="正文文本 字符"/>
    <w:basedOn w:val="17"/>
    <w:link w:val="10"/>
    <w:semiHidden/>
    <w:qFormat/>
    <w:uiPriority w:val="99"/>
    <w:rPr>
      <w:rFonts w:ascii="Times New Roman" w:hAnsi="Times New Roman" w:eastAsia="宋体" w:cs="Times New Roman"/>
      <w:szCs w:val="24"/>
    </w:rPr>
  </w:style>
  <w:style w:type="character" w:customStyle="1" w:styleId="33">
    <w:name w:val="正文文本首行缩进 字符"/>
    <w:basedOn w:val="32"/>
    <w:link w:val="14"/>
    <w:qFormat/>
    <w:uiPriority w:val="0"/>
    <w:rPr>
      <w:rFonts w:ascii="Times New Roman" w:hAnsi="Times New Roman" w:eastAsia="宋体" w:cs="Times New Roman"/>
      <w:kern w:val="0"/>
      <w:sz w:val="20"/>
      <w:szCs w:val="20"/>
      <w:lang w:val="zh-CN" w:eastAsia="zh-CN"/>
    </w:rPr>
  </w:style>
  <w:style w:type="paragraph" w:customStyle="1" w:styleId="34">
    <w:name w:val="Default New"/>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35">
    <w:name w:val="列出段落2"/>
    <w:basedOn w:val="1"/>
    <w:qFormat/>
    <w:uiPriority w:val="34"/>
    <w:pPr>
      <w:ind w:firstLine="420" w:firstLineChars="200"/>
    </w:pPr>
  </w:style>
  <w:style w:type="paragraph" w:customStyle="1" w:styleId="36">
    <w:name w:val="列表段落1"/>
    <w:basedOn w:val="1"/>
    <w:unhideWhenUsed/>
    <w:qFormat/>
    <w:uiPriority w:val="99"/>
    <w:pPr>
      <w:ind w:firstLine="420" w:firstLineChars="200"/>
    </w:pPr>
  </w:style>
  <w:style w:type="paragraph" w:customStyle="1" w:styleId="37">
    <w:name w:val="表格"/>
    <w:basedOn w:val="10"/>
    <w:qFormat/>
    <w:uiPriority w:val="1"/>
    <w:rPr>
      <w:rFonts w:ascii="Calibri" w:hAnsi="Calibri"/>
    </w:rPr>
  </w:style>
  <w:style w:type="paragraph" w:customStyle="1" w:styleId="38">
    <w:name w:val="字母编号列项（一级）"/>
    <w:qFormat/>
    <w:uiPriority w:val="0"/>
    <w:pPr>
      <w:numPr>
        <w:ilvl w:val="0"/>
        <w:numId w:val="2"/>
      </w:numPr>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6448</Words>
  <Characters>6663</Characters>
  <Lines>29</Lines>
  <Paragraphs>8</Paragraphs>
  <TotalTime>0</TotalTime>
  <ScaleCrop>false</ScaleCrop>
  <LinksUpToDate>false</LinksUpToDate>
  <CharactersWithSpaces>6866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2016-04-12T05:31:00Z</dcterms:created>
  <dc:creator>孙飞</dc:creator>
  <cp:lastModifiedBy>哆啦A梦的口袋</cp:lastModifiedBy>
  <cp:lastPrinted>2016-08-10T02:20:00Z</cp:lastPrinted>
  <dcterms:modified xsi:type="dcterms:W3CDTF">2022-08-02T03:59:29Z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7FE39F12C69A45C0AE8E19A28982B218</vt:lpwstr>
  </property>
</Properties>
</file>