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2021年度中小学足球主题大课间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展示活动案例评分表</w:t>
      </w:r>
    </w:p>
    <w:bookmarkEnd w:id="0"/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8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5366"/>
        <w:gridCol w:w="69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8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维度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内容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分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9" w:type="dxa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目标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目标明确，有良好的体质提升和育人效果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36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课堂教学延伸、补充，并为课堂教学服务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9" w:type="dxa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内容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符合学生身心发展特点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36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做到体能与技能发展相结合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36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做到体育活动的多样性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9" w:type="dxa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组织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组织有序，效率高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36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做到循序渐进、循序渐退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36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做到统一要求与个别活动相结合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36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能根据学校场地器材情况组织活动，场地 器材利用率高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36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大课活动时间不少于30分钟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不达标为0分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9" w:type="dxa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效果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学生展现出良好的精神面貌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36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学生积极参与（参与度高），活动效果明 显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36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学生练习密度 50%以上，平均心率达到 140—160次/分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每少5%扣一半 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004EB"/>
    <w:rsid w:val="3A10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2021-08-24T03:41:00Z</dcterms:created>
  <dc:creator>曾桦</dc:creator>
  <cp:lastModifiedBy>曾桦</cp:lastModifiedBy>
  <dcterms:modified xsi:type="dcterms:W3CDTF">2021-08-24T03:47:49Z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